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167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none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PORTARIA Nº  6.0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none"/>
          <w:vertAlign w:val="baseline"/>
          <w:rtl w:val="0"/>
        </w:rPr>
        <w:t xml:space="preserve">,  DE 17 DE MARÇO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auto" w:val="clear"/>
        <w:tabs>
          <w:tab w:val="left" w:leader="none" w:pos="11169"/>
        </w:tabs>
        <w:spacing w:after="0" w:before="0" w:lineRule="auto"/>
        <w:ind w:left="4479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Dispõe sobre exoneração de servidor ocupante de cargo de provimento em comissão.</w:t>
      </w:r>
    </w:p>
    <w:p w:rsidR="00000000" w:rsidDel="00000000" w:rsidP="00000000" w:rsidRDefault="00000000" w:rsidRPr="00000000" w14:paraId="00000006">
      <w:pPr>
        <w:widowControl w:val="0"/>
        <w:shd w:fill="auto" w:val="clear"/>
        <w:tabs>
          <w:tab w:val="left" w:leader="none" w:pos="11792"/>
        </w:tabs>
        <w:spacing w:after="0" w:before="0" w:lineRule="auto"/>
        <w:ind w:left="5102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6804" w:right="0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6804" w:right="0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28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Presidente da Câmara Municipal de Timóteo, no uso das atribuições que lhes são conferidas em lei,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28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28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2804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2804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2804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ind w:left="152" w:right="0" w:firstLine="2804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highlight w:val="white"/>
          <w:vertAlign w:val="baseline"/>
          <w:rtl w:val="0"/>
        </w:rPr>
        <w:t xml:space="preserve">Exonerar o Senhor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Thiago Rangell Bessa, </w:t>
      </w:r>
      <w:r w:rsidDel="00000000" w:rsidR="00000000" w:rsidRPr="00000000">
        <w:rPr>
          <w:rFonts w:ascii="Arial" w:cs="Arial" w:eastAsia="Arial" w:hAnsi="Arial"/>
          <w:rtl w:val="0"/>
        </w:rPr>
        <w:t xml:space="preserve"> portador  da C.I. MG-171.694-94 e inscrito no CPF sob o  nº  106.388.666-00, do cargo de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provimento em comissão de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Assessor Parlamentar de Mídia,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em substituição à servidora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Geziane Moreira Ramos,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lotado no Gabinete do Vereador Fabiano Ferreirah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ind w:left="152" w:right="0" w:firstLine="2804"/>
        <w:jc w:val="both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ind w:left="152" w:right="0" w:firstLine="2804"/>
        <w:jc w:val="both"/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vertAlign w:val="baseline"/>
          <w:rtl w:val="0"/>
        </w:rPr>
        <w:t xml:space="preserve"> Esta Portaria entra em vigor no dia </w:t>
      </w:r>
      <w:r w:rsidDel="00000000" w:rsidR="00000000" w:rsidRPr="00000000">
        <w:rPr>
          <w:rFonts w:ascii="Arial" w:cs="Arial" w:eastAsia="Arial" w:hAnsi="Arial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vertAlign w:val="baseline"/>
          <w:rtl w:val="0"/>
        </w:rPr>
        <w:t xml:space="preserve"> de março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28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28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28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28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Timóteo, 1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março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ADRIANO ALVARENGA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</w:p>
    <w:sectPr>
      <w:pgSz w:h="16838" w:w="11906" w:orient="portrait"/>
      <w:pgMar w:bottom="1304" w:top="2268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">
    <w:name w:val="caption111"/>
    <w:basedOn w:val="Normal"/>
    <w:next w:val="caption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">
    <w:name w:val="Caption1111"/>
    <w:basedOn w:val="Normal"/>
    <w:next w:val="Caption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">
    <w:name w:val="Caption11111"/>
    <w:basedOn w:val="Normal"/>
    <w:next w:val="Caption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">
    <w:name w:val="Caption111111"/>
    <w:basedOn w:val="Normal"/>
    <w:next w:val="Caption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">
    <w:name w:val="Caption1111111"/>
    <w:basedOn w:val="Normal"/>
    <w:next w:val="Caption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">
    <w:name w:val="Caption11111111"/>
    <w:basedOn w:val="Normal"/>
    <w:next w:val="Caption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">
    <w:name w:val="Caption111111111"/>
    <w:basedOn w:val="Normal"/>
    <w:next w:val="Caption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">
    <w:name w:val="Caption1111111111"/>
    <w:basedOn w:val="Normal"/>
    <w:next w:val="Caption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">
    <w:name w:val="Caption11111111111"/>
    <w:basedOn w:val="Normal"/>
    <w:next w:val="Caption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">
    <w:name w:val="Caption111111111111"/>
    <w:basedOn w:val="Normal"/>
    <w:next w:val="Caption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">
    <w:name w:val="Caption1111111111111"/>
    <w:basedOn w:val="Normal"/>
    <w:next w:val="Caption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9mCY8bjPpuyh9RnT4nNhW6Ptg==">CgMxLjA4AHIhMVNOaWNtUWYzSkNpUmlrY3gxOEk2U3RrOW4wSlZVTUM4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2024-09-11T16:52:29Z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