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_rels/fontTable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RESOLUÇÃO N° 502, DE 24 DE DEZEMBRO DE 2025</w:t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4535" w:right="0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Acrescenta o Anexo Único na Resolução nº 497, de 19 de novembro de 2025, que “Aprova o Regimento Interno da Câmara Municipal de Timóteo e dá outras providências.”</w:t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uppressAutoHyphens w:val="true"/>
        <w:bidi w:val="0"/>
        <w:spacing w:lineRule="auto" w:line="276" w:before="0" w:after="0"/>
        <w:ind w:firstLine="850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 xml:space="preserve">A CÂMARA MUNICIPAL DE TIMÓTEO aprovou e eu promulgo a seguinte </w:t>
      </w:r>
      <w:r>
        <w:rPr>
          <w:rFonts w:eastAsia="Arial" w:cs="Arial" w:ascii="Arial" w:hAnsi="Arial"/>
          <w:b/>
          <w:bCs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RESOLUÇÃO:</w:t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firstLine="1644" w:left="0" w:right="0"/>
        <w:jc w:val="both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sz w:val="24"/>
          <w:szCs w:val="24"/>
        </w:rPr>
      </w:r>
    </w:p>
    <w:p>
      <w:pPr>
        <w:pStyle w:val="normal1"/>
        <w:widowControl w:val="false"/>
        <w:spacing w:lineRule="auto" w:line="240" w:before="0" w:after="0"/>
        <w:ind w:firstLine="850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Art. 1º</w:t>
      </w:r>
      <w:r>
        <w:rPr>
          <w:rFonts w:eastAsia="Times New Roman" w:cs="Times New Roman" w:ascii="Arial" w:hAnsi="Arial"/>
          <w:sz w:val="24"/>
          <w:szCs w:val="24"/>
        </w:rPr>
        <w:t xml:space="preserve"> Fica criado o </w:t>
      </w:r>
      <w:r>
        <w:rPr>
          <w:rFonts w:eastAsia="Times New Roman" w:cs="Times New Roman" w:ascii="Arial" w:hAnsi="Arial"/>
          <w:b/>
          <w:bCs/>
          <w:sz w:val="24"/>
          <w:szCs w:val="24"/>
        </w:rPr>
        <w:t>Anexo Único</w:t>
      </w:r>
      <w:r>
        <w:rPr>
          <w:rFonts w:eastAsia="Times New Roman" w:cs="Times New Roman" w:ascii="Arial" w:hAnsi="Arial"/>
          <w:sz w:val="24"/>
          <w:szCs w:val="24"/>
        </w:rPr>
        <w:t xml:space="preserve"> da Resolução nº 497, de 19 de novembro de 2025, com a seguinte redação:</w:t>
      </w:r>
    </w:p>
    <w:p>
      <w:pPr>
        <w:pStyle w:val="normal1"/>
        <w:spacing w:lineRule="auto" w:line="240" w:before="280" w:after="280"/>
        <w:ind w:hanging="0" w:left="851"/>
        <w:jc w:val="center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ANEXO ÚNICO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Art. 1º</w:t>
      </w:r>
      <w:r>
        <w:rPr>
          <w:rFonts w:eastAsia="Times New Roman" w:cs="Times New Roman" w:ascii="Arial" w:hAnsi="Arial"/>
          <w:sz w:val="24"/>
          <w:szCs w:val="24"/>
        </w:rPr>
        <w:t xml:space="preserve"> O Presidente da Câmara Municipal poderá, em caráter excepcional e devidamente justificado, convocar Reuniões do Plenário e das Comissões em formato híbrido ou remoto.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§ 1º</w:t>
      </w:r>
      <w:r>
        <w:rPr>
          <w:rFonts w:eastAsia="Times New Roman" w:cs="Times New Roman" w:ascii="Arial" w:hAnsi="Arial"/>
          <w:sz w:val="24"/>
          <w:szCs w:val="24"/>
        </w:rPr>
        <w:t xml:space="preserve"> Entende-se por Reunião remota aquela realizada integralmente em ambiente virtual, com o objetivo de garantir a continuidade dos trabalhos legislativos, assegurada a publicidade dos atos mediante transmissão ao vivo pelos canais oficiais de comunicação do Poder Legislativo Municipal.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§ 2º</w:t>
      </w:r>
      <w:r>
        <w:rPr>
          <w:rFonts w:eastAsia="Times New Roman" w:cs="Times New Roman" w:ascii="Arial" w:hAnsi="Arial"/>
          <w:sz w:val="24"/>
          <w:szCs w:val="24"/>
        </w:rPr>
        <w:t xml:space="preserve"> Entende-se por Reunião híbrida aquela realizada em formato semipresencial, permitindo a participação dos parlamentares de forma presencial ou remota.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§ 3º</w:t>
      </w:r>
      <w:r>
        <w:rPr>
          <w:rFonts w:eastAsia="Times New Roman" w:cs="Times New Roman" w:ascii="Arial" w:hAnsi="Arial"/>
          <w:sz w:val="24"/>
          <w:szCs w:val="24"/>
        </w:rPr>
        <w:t xml:space="preserve"> A forma de realização da Reunião deverá constar expressamente no ato de convocação.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Art. 2º</w:t>
      </w:r>
      <w:r>
        <w:rPr>
          <w:rFonts w:eastAsia="Times New Roman" w:cs="Times New Roman" w:ascii="Arial" w:hAnsi="Arial"/>
          <w:sz w:val="24"/>
          <w:szCs w:val="24"/>
        </w:rPr>
        <w:t xml:space="preserve"> Na hipótese da modalidade remota, nos termos do § 1º do art. 1º deste Anexo, a Reunião será considerada realizada fora da sede da Câmara Municipal.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Art. 3º</w:t>
      </w:r>
      <w:r>
        <w:rPr>
          <w:rFonts w:eastAsia="Times New Roman" w:cs="Times New Roman" w:ascii="Arial" w:hAnsi="Arial"/>
          <w:sz w:val="24"/>
          <w:szCs w:val="24"/>
        </w:rPr>
        <w:t xml:space="preserve"> O Presidente da Câmara, o Secretário Administrativo e o Procurador-Geral poderão convocar servidores considerados essenciais à realização das Reuniões remotas ou híbridas.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Art. 4º</w:t>
      </w:r>
      <w:r>
        <w:rPr>
          <w:rFonts w:eastAsia="Times New Roman" w:cs="Times New Roman" w:ascii="Arial" w:hAnsi="Arial"/>
          <w:sz w:val="24"/>
          <w:szCs w:val="24"/>
        </w:rPr>
        <w:t xml:space="preserve"> No regime de Reunião remota ou híbrida, a Administração da Câmara prestará suporte técnico aos parlamentares e servidores para utilização da plataforma digital adotada, preferencialmente a plataforma gratuita </w:t>
      </w:r>
      <w:r>
        <w:rPr>
          <w:rFonts w:eastAsia="Times New Roman" w:cs="Times New Roman" w:ascii="Arial" w:hAnsi="Arial"/>
          <w:b w:val="false"/>
          <w:bCs w:val="false"/>
          <w:i/>
          <w:iCs/>
          <w:sz w:val="24"/>
          <w:szCs w:val="24"/>
        </w:rPr>
        <w:t>“Jitsi Meet”</w:t>
      </w:r>
      <w:r>
        <w:rPr>
          <w:rFonts w:eastAsia="Times New Roman" w:cs="Times New Roman" w:ascii="Arial" w:hAnsi="Arial"/>
          <w:sz w:val="24"/>
          <w:szCs w:val="24"/>
        </w:rPr>
        <w:t>, disponibilizada pelo Programa Interlegis do Senado Federal.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Art. 5º</w:t>
      </w:r>
      <w:r>
        <w:rPr>
          <w:rFonts w:eastAsia="Times New Roman" w:cs="Times New Roman" w:ascii="Arial" w:hAnsi="Arial"/>
          <w:sz w:val="24"/>
          <w:szCs w:val="24"/>
        </w:rPr>
        <w:t xml:space="preserve"> Os Vereadores e servidores que participarem das Reuniões remotamente deverão providenciar a instalação do software, aplicativo ou ferramenta equivalente indicada pela Câmara Municipal, com o apoio do setor de informática, sob pena de serem considerados ausentes.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Art. 6º</w:t>
      </w:r>
      <w:r>
        <w:rPr>
          <w:rFonts w:eastAsia="Times New Roman" w:cs="Times New Roman" w:ascii="Arial" w:hAnsi="Arial"/>
          <w:sz w:val="24"/>
          <w:szCs w:val="24"/>
        </w:rPr>
        <w:t xml:space="preserve"> Compete ao Vereador que participar da Reunião remotamente: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sz w:val="24"/>
          <w:szCs w:val="24"/>
        </w:rPr>
        <w:t>I – providenciar equipamento compatível com conexão à internet em banda larga, que permita adequada transmissão e recepção de áudio e vídeo;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sz w:val="24"/>
          <w:szCs w:val="24"/>
        </w:rPr>
        <w:t>II – utilizar equipamento dotado de câmera frontal em funcionamento;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sz w:val="24"/>
          <w:szCs w:val="24"/>
        </w:rPr>
        <w:t>III – fornecer número de telefone e/ou endereço eletrônico alternativo para contato, em caso de falha do sistema de videoconferência;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sz w:val="24"/>
          <w:szCs w:val="24"/>
        </w:rPr>
        <w:t>IV – manter-se conectado pessoalmente ao sistema durante toda a duração da Reunião, vedada a substituição por terceiros;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sz w:val="24"/>
          <w:szCs w:val="24"/>
        </w:rPr>
        <w:t>V – evitar a exposição de pessoas que não integrem o Parlamento;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sz w:val="24"/>
          <w:szCs w:val="24"/>
        </w:rPr>
        <w:t>VI – manter a câmera ligada durante todo o período da Reunião;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sz w:val="24"/>
          <w:szCs w:val="24"/>
        </w:rPr>
        <w:t>VII – portar-se com vestuário compatível com a dignidade do cargo durante a realização da Reunião.</w:t>
      </w:r>
    </w:p>
    <w:p>
      <w:pPr>
        <w:pStyle w:val="normal1"/>
        <w:spacing w:lineRule="auto" w:line="240" w:before="280" w:after="280"/>
        <w:ind w:firstLine="850" w:left="0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 xml:space="preserve">Art. 2º </w:t>
      </w:r>
      <w:r>
        <w:rPr>
          <w:rFonts w:eastAsia="Times New Roman" w:cs="Times New Roman" w:ascii="Arial" w:hAnsi="Arial"/>
          <w:sz w:val="24"/>
          <w:szCs w:val="24"/>
        </w:rPr>
        <w:t>O § 7º do art. 267 da Resolução nº 497, de 19 de novembro de 2025, passa a vigorar com a seguinte redação: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Art. 267</w:t>
      </w:r>
      <w:r>
        <w:rPr>
          <w:rFonts w:eastAsia="Times New Roman" w:cs="Times New Roman" w:ascii="Arial" w:hAnsi="Arial"/>
          <w:sz w:val="24"/>
          <w:szCs w:val="24"/>
        </w:rPr>
        <w:t xml:space="preserve"> (...)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§ 7º</w:t>
      </w:r>
      <w:r>
        <w:rPr>
          <w:rFonts w:eastAsia="Times New Roman" w:cs="Times New Roman" w:ascii="Arial" w:hAnsi="Arial"/>
          <w:sz w:val="24"/>
          <w:szCs w:val="24"/>
        </w:rPr>
        <w:t xml:space="preserve"> As Reuniões da Câmara serão, preferencialmente, presenciais, admitida a realização em formato remoto ou híbrido, nos termos do Anexo Único deste Regimento Interno.</w:t>
      </w:r>
    </w:p>
    <w:p>
      <w:pPr>
        <w:pStyle w:val="normal1"/>
        <w:spacing w:lineRule="auto" w:line="240" w:before="280" w:after="280"/>
        <w:ind w:hanging="0" w:left="851"/>
        <w:jc w:val="both"/>
        <w:rPr>
          <w:rFonts w:ascii="Arial" w:hAnsi="Arial"/>
        </w:rPr>
      </w:pPr>
      <w:r>
        <w:rPr>
          <w:rFonts w:eastAsia="Times New Roman" w:cs="Times New Roman" w:ascii="Arial" w:hAnsi="Arial"/>
          <w:b/>
          <w:bCs/>
          <w:sz w:val="24"/>
          <w:szCs w:val="24"/>
        </w:rPr>
        <w:t>Art. 3º</w:t>
      </w:r>
      <w:r>
        <w:rPr>
          <w:rFonts w:eastAsia="Times New Roman" w:cs="Times New Roman" w:ascii="Arial" w:hAnsi="Arial"/>
          <w:sz w:val="24"/>
          <w:szCs w:val="24"/>
        </w:rPr>
        <w:t xml:space="preserve"> Esta resolução entra em vigor na data da sua publicação.</w:t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Timóteo, 24 de dezembro de 2025</w:t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Adriano Alvarenga</w:t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Presidente</w:t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Times New Roman" w:hAnsi="Times New Roman" w:eastAsia="Times New Roman" w:cs="Times New Roman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Times New Roman" w:cs="Times New Roman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Pastora Sônia Andrade</w:t>
      </w:r>
    </w:p>
    <w:p>
      <w:pPr>
        <w:pStyle w:val="normal11"/>
        <w:keepNext w:val="false"/>
        <w:keepLines w:val="false"/>
        <w:pageBreakBefore w:val="false"/>
        <w:widowControl w:val="false"/>
        <w:pBdr/>
        <w:shd w:val="clear" w:fill="auto"/>
        <w:spacing w:lineRule="auto" w:line="276" w:before="0" w:after="0"/>
        <w:ind w:hanging="0" w:left="0" w:right="0"/>
        <w:jc w:val="center"/>
        <w:rPr>
          <w:rFonts w:ascii="Arial" w:hAnsi="Arial" w:eastAsia="Arial" w:cs="Arial"/>
          <w:b w:val="false"/>
          <w:bCs w:val="false"/>
          <w:i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</w:pPr>
      <w:r>
        <w:rPr>
          <w:rFonts w:eastAsia="Arial" w:cs="Arial" w:ascii="Arial" w:hAnsi="Arial"/>
          <w:b w:val="false"/>
          <w:bCs w:val="false"/>
          <w:i w:val="false"/>
          <w:iCs w:val="false"/>
          <w:caps w:val="false"/>
          <w:smallCaps w:val="false"/>
          <w:strike w:val="false"/>
          <w:dstrike w:val="false"/>
          <w:color w:val="000000"/>
          <w:position w:val="0"/>
          <w:sz w:val="24"/>
          <w:sz w:val="24"/>
          <w:szCs w:val="24"/>
          <w:u w:val="none"/>
          <w:shd w:fill="auto" w:val="clear"/>
          <w:vertAlign w:val="baseline"/>
        </w:rPr>
        <w:t>1ª Secretária</w:t>
      </w:r>
    </w:p>
    <w:sectPr>
      <w:type w:val="nextPage"/>
      <w:pgSz w:w="11906" w:h="16838"/>
      <w:pgMar w:left="1701" w:right="1134" w:gutter="0" w:header="0" w:top="2268" w:footer="0" w:bottom="1134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Arial">
    <w:charset w:val="00"/>
    <w:family w:val="roman"/>
    <w:pitch w:val="variable"/>
  </w:font>
  <w:font w:name="Symbol">
    <w:charset w:val="00"/>
    <w:family w:val="roman"/>
    <w:pitch w:val="variable"/>
    <w:embedRegular r:id="rId5" w:fontKey="{05014A78-CABC-4EF0-12AC-5CD89AEFDE05}"/>
  </w:font>
  <w:font w:name="Star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Luxi Sans">
    <w:charset w:val="00"/>
    <w:family w:val="roman"/>
    <w:pitch w:val="variable"/>
  </w:font>
  <w:font w:name="Arial">
    <w:charset w:val="01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</w:fonts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widowControl w:val="false"/>
      <w:ind w:hanging="0" w:left="0"/>
      <w:jc w:val="both"/>
    </w:pPr>
    <w:rPr>
      <w:rFonts w:ascii="Arial" w:hAnsi="Arial" w:eastAsia="Arial" w:cs="Arial"/>
      <w:b/>
      <w:bCs/>
      <w:position w:val="0"/>
      <w:sz w:val="24"/>
      <w:sz w:val="24"/>
      <w:szCs w:val="24"/>
      <w:vertAlign w:val="baseline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Heading3">
    <w:name w:val="heading 3"/>
    <w:basedOn w:val="normal1"/>
    <w:next w:val="normal1"/>
    <w:qFormat/>
    <w:pPr>
      <w:keepNext w:val="true"/>
      <w:widowControl w:val="false"/>
      <w:ind w:hanging="0" w:left="0"/>
      <w:jc w:val="center"/>
    </w:pPr>
    <w:rPr>
      <w:rFonts w:ascii="Arial" w:hAnsi="Arial" w:eastAsia="Arial" w:cs="Arial"/>
      <w:b/>
      <w:bCs/>
      <w:position w:val="0"/>
      <w:sz w:val="24"/>
      <w:sz w:val="24"/>
      <w:szCs w:val="24"/>
      <w:vertAlign w:val="baseline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Fontepargpadro">
    <w:name w:val="Fonte parág. padr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Fontepargpadro1">
    <w:name w:val="Fonte parág. padrão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Absatz-Standardschriftart">
    <w:name w:val="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">
    <w:name w:val="WW-Absatz-Standardschriftart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">
    <w:name w:val="WW-Absatz-Standardschriftart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">
    <w:name w:val="WW-Absatz-Standardschriftart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">
    <w:name w:val="WW-Absatz-Standardschriftart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">
    <w:name w:val="WW-Absatz-Standardschriftart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">
    <w:name w:val="WW-Absatz-Standardschriftart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">
    <w:name w:val="WW-Absatz-Standardschriftart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">
    <w:name w:val="WW-Absatz-Standardschriftart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">
    <w:name w:val="WW-Absatz-Standardschriftart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">
    <w:name w:val="WW-Absatz-Standardschriftart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">
    <w:name w:val="WW-Absatz-Standardschriftart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">
    <w:name w:val="WW-Absatz-Standardschriftart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">
    <w:name w:val="WW-Absatz-Standardschriftart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">
    <w:name w:val="WW-Absatz-Standardschriftart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">
    <w:name w:val="WW-Absatz-Standardschriftart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">
    <w:name w:val="WW-Absatz-Standardschriftart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">
    <w:name w:val="WW-Absatz-Standardschriftart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">
    <w:name w:val="WW-Absatz-Standardschriftart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">
    <w:name w:val="WW-Absatz-Standardschriftart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">
    <w:name w:val="WW-Absatz-Standardschriftart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">
    <w:name w:val="WW-Absatz-Standardschriftart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">
    <w:name w:val="WW-Absatz-Standardschriftart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">
    <w:name w:val="WW-Absatz-Standardschriftart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">
    <w:name w:val="WW-Absatz-Standardschriftart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">
    <w:name w:val="WW-Absatz-Standardschriftart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">
    <w:name w:val="WW-Absatz-Standardschriftart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">
    <w:name w:val="WW-Absatz-Standardschriftart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">
    <w:name w:val="WW-Absatz-Standardschriftart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">
    <w:name w:val="WW-Absatz-Standardschriftart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">
    <w:name w:val="WW-Absatz-Standardschriftart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">
    <w:name w:val="WW-Absatz-Standardschriftart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">
    <w:name w:val="WW-Absatz-Standardschriftart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">
    <w:name w:val="WW-Absatz-Standardschriftart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8Num2z0">
    <w:name w:val="WW8Num2z0"/>
    <w:qFormat/>
    <w:rPr>
      <w:rFonts w:ascii="Symbol" w:hAnsi="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-Absatz-Standardschriftart111111111111111111111111111111111">
    <w:name w:val="WW-Absatz-Standardschriftart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Hyperlink">
    <w:name w:val="Hyperlink"/>
    <w:qFormat/>
    <w:rPr>
      <w:color w:val="000080"/>
      <w:w w:val="100"/>
      <w:position w:val="0"/>
      <w:sz w:val="24"/>
      <w:sz w:val="24"/>
      <w:u w:val="single"/>
      <w:effect w:val="none"/>
      <w:vertAlign w:val="baseline"/>
      <w:em w:val="none"/>
    </w:rPr>
  </w:style>
  <w:style w:type="character" w:styleId="Marcadores">
    <w:name w:val="Marcadores"/>
    <w:qFormat/>
    <w:rPr>
      <w:rFonts w:ascii="StarSymbol" w:hAnsi="StarSymbol" w:eastAsia="Star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Marcas">
    <w:name w:val="Marcas"/>
    <w:qFormat/>
    <w:rPr>
      <w:rFonts w:ascii="StarSymbol" w:hAnsi="StarSymbol" w:eastAsia="StarSymbol" w:cs="StarSymbol"/>
      <w:w w:val="100"/>
      <w:position w:val="0"/>
      <w:sz w:val="18"/>
      <w:sz w:val="18"/>
      <w:szCs w:val="18"/>
      <w:effect w:val="none"/>
      <w:vertAlign w:val="baseline"/>
      <w:em w:val="none"/>
    </w:rPr>
  </w:style>
  <w:style w:type="character" w:styleId="WW-Absatz-Standardschriftart12">
    <w:name w:val="WW-Absatz-Standardschriftart12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">
    <w:name w:val="WW-Absatz-Standardschriftart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">
    <w:name w:val="WW-Absatz-Standardschriftart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">
    <w:name w:val="WW-Absatz-Standardschriftart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">
    <w:name w:val="WW-Absatz-Standardschriftart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">
    <w:name w:val="WW-Absatz-Standardschriftart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-Absatz-Standardschriftart111111111111111111111111111111111111111">
    <w:name w:val="WW-Absatz-Standardschriftart111111111111111111111111111111111111111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Strong">
    <w:name w:val="Strong"/>
    <w:qFormat/>
    <w:rPr>
      <w:b/>
      <w:bCs/>
      <w:w w:val="100"/>
      <w:position w:val="0"/>
      <w:sz w:val="24"/>
      <w:sz w:val="24"/>
      <w:effect w:val="none"/>
      <w:vertAlign w:val="baseline"/>
      <w:em w:val="none"/>
    </w:rPr>
  </w:style>
  <w:style w:type="character" w:styleId="Smbolosdenumerao">
    <w:name w:val="Símbolos de numeração"/>
    <w:qFormat/>
    <w:rPr>
      <w:w w:val="100"/>
      <w:position w:val="0"/>
      <w:sz w:val="24"/>
      <w:sz w:val="24"/>
      <w:effect w:val="none"/>
      <w:vertAlign w:val="baseline"/>
      <w:em w:val="none"/>
    </w:rPr>
  </w:style>
  <w:style w:type="character" w:styleId="WWCharLFO4LVL1">
    <w:name w:val="WW_CharLFO4LVL1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2">
    <w:name w:val="WW_CharLFO4LVL2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3">
    <w:name w:val="WW_CharLFO4LVL3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4">
    <w:name w:val="WW_CharLFO4LVL4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5">
    <w:name w:val="WW_CharLFO4LVL5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6">
    <w:name w:val="WW_CharLFO4LVL6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7">
    <w:name w:val="WW_CharLFO4LVL7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8">
    <w:name w:val="WW_CharLFO4LVL8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character" w:styleId="WWCharLFO4LVL9">
    <w:name w:val="WW_CharLFO4LVL9"/>
    <w:qFormat/>
    <w:rPr>
      <w:rFonts w:ascii="Symbol" w:hAnsi="Symbol" w:cs="Symbol"/>
      <w:w w:val="100"/>
      <w:position w:val="0"/>
      <w:sz w:val="20"/>
      <w:sz w:val="20"/>
      <w:effect w:val="none"/>
      <w:vertAlign w:val="baseline"/>
      <w:em w:val="none"/>
    </w:rPr>
  </w:style>
  <w:style w:type="paragraph" w:styleId="Ttulo">
    <w:name w:val="Título"/>
    <w:basedOn w:val="normal11"/>
    <w:next w:val="BodyText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Liberation Sans" w:hAnsi="Liberation Sans" w:eastAsia="Noto Sans CJK SC" w:cs="Lohit Devanagari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">
    <w:name w:val="Body Text"/>
    <w:basedOn w:val="normal11"/>
    <w:qFormat/>
    <w:pPr>
      <w:widowControl w:val="false"/>
      <w:suppressAutoHyphens w:val="false"/>
      <w:bidi w:val="0"/>
      <w:spacing w:lineRule="atLeast" w:line="1" w:before="0" w:after="120"/>
      <w:textAlignment w:val="baseline"/>
      <w:outlineLvl w:val="0"/>
    </w:pPr>
    <w:rPr>
      <w:rFonts w:ascii="Times New Roman" w:hAnsi="Times New Roman" w:eastAsia="DejaVu Sans" w:cs="DejaVu Sans"/>
      <w:w w:val="100"/>
      <w:kern w:val="2"/>
      <w:sz w:val="24"/>
      <w:szCs w:val="24"/>
      <w:effect w:val="none"/>
      <w:vertAlign w:val="subscript"/>
      <w:em w:val="none"/>
      <w:lang w:val="pt-BR" w:eastAsia="zh-CN" w:bidi="hi-IN"/>
    </w:rPr>
  </w:style>
  <w:style w:type="paragraph" w:styleId="List">
    <w:name w:val="List"/>
    <w:basedOn w:val="BodyText"/>
    <w:qFormat/>
    <w:pPr>
      <w:widowControl w:val="false"/>
      <w:suppressAutoHyphens w:val="false"/>
      <w:bidi w:val="0"/>
      <w:spacing w:lineRule="atLeast" w:line="1" w:before="0" w:after="120"/>
      <w:textAlignment w:val="baseline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">
    <w:name w:val="caption"/>
    <w:basedOn w:val="normal1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dice">
    <w:name w:val="Índice"/>
    <w:basedOn w:val="normal11"/>
    <w:qFormat/>
    <w:pPr>
      <w:widowControl w:val="false"/>
      <w:suppressLineNumbers/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" w:default="1">
    <w:name w:val="normal1"/>
    <w:qFormat/>
    <w:pPr>
      <w:widowControl w:val="fals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Ttulouser">
    <w:name w:val="Título (user)"/>
    <w:basedOn w:val="normal1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ndiceuser">
    <w:name w:val="Índice (user)"/>
    <w:basedOn w:val="normal1"/>
    <w:qFormat/>
    <w:pPr>
      <w:suppressLineNumbers/>
    </w:pPr>
    <w:rPr>
      <w:rFonts w:cs="Arial"/>
    </w:rPr>
  </w:style>
  <w:style w:type="paragraph" w:styleId="normal11" w:default="1">
    <w:name w:val="normal1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caption1">
    <w:name w:val="caption1"/>
    <w:basedOn w:val="normal1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">
    <w:name w:val="Caption11"/>
    <w:basedOn w:val="normal1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">
    <w:name w:val="caption111"/>
    <w:basedOn w:val="normal1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">
    <w:name w:val="Caption1111"/>
    <w:basedOn w:val="normal1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Arial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">
    <w:name w:val="caption11111"/>
    <w:basedOn w:val="normal1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">
    <w:name w:val="caption111111"/>
    <w:basedOn w:val="normal1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Lohit Devanagari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ion1111111">
    <w:name w:val="caption1111111"/>
    <w:basedOn w:val="normal11"/>
    <w:qFormat/>
    <w:pPr>
      <w:widowControl w:val="false"/>
      <w:suppressLineNumbers/>
      <w:suppressAutoHyphens w:val="false"/>
      <w:bidi w:val="0"/>
      <w:spacing w:lineRule="atLeast" w:line="1" w:before="120" w:after="120"/>
      <w:textAlignment w:val="baseline"/>
      <w:outlineLvl w:val="0"/>
    </w:pPr>
    <w:rPr>
      <w:rFonts w:ascii="Times New Roman" w:hAnsi="Times New Roman" w:eastAsia="DejaVu Sans" w:cs="DejaVu Sans"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1">
    <w:name w:val="Título1"/>
    <w:basedOn w:val="normal11"/>
    <w:next w:val="BodyText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Arial" w:hAnsi="Arial" w:eastAsia="DejaVu Sans" w:cs="Arial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LO-Normal">
    <w:name w:val="LO-Normal"/>
    <w:qFormat/>
    <w:pPr>
      <w:widowControl w:val="false"/>
      <w:suppressAutoHyphens w:val="false"/>
      <w:bidi w:val="0"/>
      <w:spacing w:lineRule="atLeast" w:line="1" w:before="0" w:after="0"/>
      <w:jc w:val="left"/>
      <w:textAlignment w:val="baseline"/>
      <w:outlineLvl w:val="0"/>
    </w:pPr>
    <w:rPr>
      <w:rFonts w:ascii="Liberation Serif" w:hAnsi="Liberation Serif" w:eastAsia="WenQuanYi Micro Hei" w:cs="Lohit Hindi"/>
      <w:color w:val="auto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ptulo">
    <w:name w:val="Capítulo"/>
    <w:basedOn w:val="normal11"/>
    <w:next w:val="BodyText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Arial" w:hAnsi="Arial" w:eastAsia="DejaVu Sans" w:cs="Arial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WW-Ttulo">
    <w:name w:val="WW-Título"/>
    <w:basedOn w:val="normal11"/>
    <w:next w:val="Subtitle"/>
    <w:qFormat/>
    <w:pPr>
      <w:widowControl w:val="false"/>
      <w:suppressAutoHyphens w:val="false"/>
      <w:bidi w:val="0"/>
      <w:spacing w:lineRule="atLeast" w:line="1"/>
      <w:ind w:hanging="0" w:left="1134" w:right="0"/>
      <w:jc w:val="center"/>
      <w:textAlignment w:val="baseline"/>
      <w:outlineLvl w:val="0"/>
    </w:pPr>
    <w:rPr>
      <w:rFonts w:ascii="Arial" w:hAnsi="Arial" w:eastAsia="DejaVu Sans" w:cs="Arial"/>
      <w:b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WW-TtuloPrincipal">
    <w:name w:val="WW-Título Principal"/>
    <w:basedOn w:val="normal11"/>
    <w:next w:val="BodyText"/>
    <w:qFormat/>
    <w:pPr>
      <w:keepNext w:val="true"/>
      <w:widowControl w:val="false"/>
      <w:suppressAutoHyphens w:val="false"/>
      <w:bidi w:val="0"/>
      <w:spacing w:lineRule="atLeast" w:line="1" w:before="240" w:after="120"/>
      <w:textAlignment w:val="baseline"/>
      <w:outlineLvl w:val="0"/>
    </w:pPr>
    <w:rPr>
      <w:rFonts w:ascii="Luxi Sans" w:hAnsi="Luxi Sans" w:eastAsia="HG Mincho Light J" w:cs="Luxi Sans"/>
      <w:w w:val="100"/>
      <w:kern w:val="2"/>
      <w:position w:val="-1"/>
      <w:sz w:val="28"/>
      <w:szCs w:val="28"/>
      <w:effect w:val="none"/>
      <w:em w:val="none"/>
      <w:lang w:val="pt-BR" w:eastAsia="zh-CN" w:bidi="hi-IN"/>
    </w:rPr>
  </w:style>
  <w:style w:type="paragraph" w:styleId="BodyTextIndent">
    <w:name w:val="Body Text Indent"/>
    <w:basedOn w:val="normal11"/>
    <w:qFormat/>
    <w:pPr>
      <w:widowControl w:val="false"/>
      <w:suppressAutoHyphens w:val="false"/>
      <w:bidi w:val="0"/>
      <w:spacing w:lineRule="atLeast" w:line="1"/>
      <w:ind w:hanging="0" w:left="5670" w:right="0"/>
      <w:jc w:val="both"/>
      <w:textAlignment w:val="baseline"/>
      <w:outlineLvl w:val="0"/>
    </w:pPr>
    <w:rPr>
      <w:rFonts w:ascii="Arial" w:hAnsi="Arial" w:eastAsia="DejaVu Sans" w:cs="Arial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WW-Recuodecorpodetexto2">
    <w:name w:val="WW-Recuo de corpo de texto 2"/>
    <w:basedOn w:val="normal11"/>
    <w:qFormat/>
    <w:pPr>
      <w:widowControl w:val="false"/>
      <w:suppressAutoHyphens w:val="false"/>
      <w:bidi w:val="0"/>
      <w:spacing w:lineRule="atLeast" w:line="1"/>
      <w:ind w:firstLine="2268" w:left="1134" w:right="0"/>
      <w:jc w:val="both"/>
      <w:textAlignment w:val="baseline"/>
      <w:outlineLvl w:val="0"/>
    </w:pPr>
    <w:rPr>
      <w:rFonts w:ascii="Arial" w:hAnsi="Arial" w:eastAsia="DejaVu Sans" w:cs="Arial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atabela">
    <w:name w:val="Conteúdo da tabela"/>
    <w:basedOn w:val="normal11"/>
    <w:qFormat/>
    <w:pPr>
      <w:widowControl w:val="false"/>
      <w:suppressLineNumbers/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databela">
    <w:name w:val="Título da tabela"/>
    <w:basedOn w:val="Contedodatabela"/>
    <w:qFormat/>
    <w:pPr>
      <w:widowControl w:val="false"/>
      <w:suppressLineNumbers/>
      <w:suppressAutoHyphens w:val="false"/>
      <w:bidi w:val="0"/>
      <w:spacing w:lineRule="atLeast" w:line="1"/>
      <w:jc w:val="center"/>
      <w:textAlignment w:val="baseline"/>
    </w:pPr>
    <w:rPr>
      <w:rFonts w:ascii="Times New Roman" w:hAnsi="Times New Roman" w:eastAsia="DejaVu Sans" w:cs="DejaVu Sans"/>
      <w:b/>
      <w:bCs/>
      <w:i/>
      <w:i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Ttulodetabela">
    <w:name w:val="Título de tabela"/>
    <w:basedOn w:val="Contedodatabela"/>
    <w:qFormat/>
    <w:pPr>
      <w:widowControl w:val="false"/>
      <w:suppressLineNumbers/>
      <w:suppressAutoHyphens w:val="false"/>
      <w:bidi w:val="0"/>
      <w:spacing w:lineRule="atLeast" w:line="1"/>
      <w:jc w:val="center"/>
      <w:textAlignment w:val="baseline"/>
    </w:pPr>
    <w:rPr>
      <w:rFonts w:ascii="Times New Roman" w:hAnsi="Times New Roman" w:eastAsia="DejaVu Sans" w:cs="DejaVu Sans"/>
      <w:b/>
      <w:bCs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">
    <w:name w:val="Cabeçalho e Rodapé"/>
    <w:basedOn w:val="normal1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1">
    <w:name w:val="Cabeçalho e rodapé1"/>
    <w:basedOn w:val="normal1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2">
    <w:name w:val="Cabeçalho e rodapé2"/>
    <w:basedOn w:val="normal1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3">
    <w:name w:val="Cabeçalho e rodapé3"/>
    <w:basedOn w:val="normal1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4">
    <w:name w:val="Cabeçalho e rodapé4"/>
    <w:basedOn w:val="normal1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5">
    <w:name w:val="Cabeçalho e rodapé5"/>
    <w:basedOn w:val="normal11"/>
    <w:qFormat/>
    <w:pPr>
      <w:widowControl w:val="false"/>
      <w:suppressLineNumbers/>
      <w:tabs>
        <w:tab w:val="clear" w:pos="720"/>
        <w:tab w:val="center" w:pos="4819" w:leader="none"/>
        <w:tab w:val="right" w:pos="9638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abealhoerodap6">
    <w:name w:val="Cabeçalho e rodapé6"/>
    <w:basedOn w:val="normal1"/>
    <w:qFormat/>
    <w:pPr/>
    <w:rPr/>
  </w:style>
  <w:style w:type="paragraph" w:styleId="Cabealhoerodap7">
    <w:name w:val="Cabeçalho e rodapé7"/>
    <w:basedOn w:val="Normal"/>
    <w:qFormat/>
    <w:pPr/>
    <w:rPr/>
  </w:style>
  <w:style w:type="paragraph" w:styleId="Header">
    <w:name w:val="header"/>
    <w:basedOn w:val="normal1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Footer">
    <w:name w:val="footer"/>
    <w:basedOn w:val="normal11"/>
    <w:qFormat/>
    <w:pPr>
      <w:widowControl w:val="false"/>
      <w:suppressLineNumbers/>
      <w:tabs>
        <w:tab w:val="clear" w:pos="720"/>
        <w:tab w:val="center" w:pos="4535" w:leader="none"/>
        <w:tab w:val="right" w:pos="9071" w:leader="none"/>
      </w:tabs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Contedodetabela">
    <w:name w:val="Conteúdo de tabela"/>
    <w:basedOn w:val="normal11"/>
    <w:qFormat/>
    <w:pPr>
      <w:widowControl w:val="false"/>
      <w:suppressLineNumbers/>
      <w:suppressAutoHyphens w:val="false"/>
      <w:bidi w:val="0"/>
      <w:spacing w:lineRule="atLeast" w:line="1"/>
      <w:textAlignment w:val="baseline"/>
      <w:outlineLvl w:val="0"/>
    </w:pPr>
    <w:rPr>
      <w:rFonts w:ascii="Times New Roman" w:hAnsi="Times New Roman" w:eastAsia="DejaVu Sans" w:cs="DejaVu Sans"/>
      <w:w w:val="100"/>
      <w:kern w:val="2"/>
      <w:position w:val="-1"/>
      <w:sz w:val="24"/>
      <w:szCs w:val="24"/>
      <w:effect w:val="none"/>
      <w:em w:val="none"/>
      <w:lang w:val="pt-BR" w:eastAsia="zh-CN" w:bidi="hi-IN"/>
    </w:rPr>
  </w:style>
  <w:style w:type="paragraph" w:styleId="normal1111">
    <w:name w:val="normal111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NSimSun" w:cs="Arial"/>
      <w:color w:val="auto"/>
      <w:kern w:val="0"/>
      <w:sz w:val="24"/>
      <w:szCs w:val="24"/>
      <w:lang w:val="en-US" w:eastAsia="zh-CN" w:bidi="hi-IN"/>
    </w:rPr>
  </w:style>
  <w:style w:type="paragraph" w:styleId="Subtitle">
    <w:name w:val="Subtitle"/>
    <w:basedOn w:val="normal1"/>
    <w:next w:val="normal1"/>
    <w:qFormat/>
    <w:pPr>
      <w:keepNext w:val="true"/>
      <w:widowControl w:val="false"/>
      <w:spacing w:lineRule="auto" w:line="240" w:before="240" w:after="120"/>
      <w:jc w:val="center"/>
    </w:pPr>
    <w:rPr>
      <w:rFonts w:ascii="Luxi Sans" w:hAnsi="Luxi Sans" w:eastAsia="Luxi Sans" w:cs="Luxi Sans"/>
      <w:i/>
      <w:iCs/>
      <w:position w:val="0"/>
      <w:sz w:val="28"/>
      <w:sz w:val="28"/>
      <w:szCs w:val="28"/>
      <w:vertAlign w:val="baseline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customXml" Target="../customXml/item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roundtripDataSignature="AMtx7mh062ZV5P4YJbo8jPFiwvdN72xibg==">CgMxLjA4AHIhMXBMaVM0Q0x4U1lfRU1LMklmN25BYnI1NHpNdE00aS1W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2</TotalTime>
  <Application>LibreOffice/25.2.7.2$Windows_X86_64 LibreOffice_project/5cbfd1ab6520636bb5f7b99185aa69bd7456825d</Application>
  <AppVersion>15.0000</AppVersion>
  <Pages>2</Pages>
  <Words>495</Words>
  <Characters>2723</Characters>
  <CharactersWithSpaces>3195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1995-11-21T20:41:00Z</dcterms:created>
  <dc:creator>Rodrigo Dias</dc:creator>
  <dc:description/>
  <dc:language>pt-BR</dc:language>
  <cp:lastModifiedBy/>
  <dcterms:modified xsi:type="dcterms:W3CDTF">2025-12-23T16:00:42Z</dcterms:modified>
  <cp:revision>1</cp:revision>
  <dc:subject/>
  <dc:title/>
</cp:coreProperties>
</file>