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vertAlign w:val="baseline"/>
          <w:lang w:val="pt-BR"/>
        </w:rPr>
        <w:t>RESOLUÇÃO Nº  498,</w:t>
      </w:r>
      <w:r>
        <w:rPr>
          <w:rFonts w:eastAsia="Arial" w:cs="Arial" w:ascii="Arial" w:hAnsi="Arial"/>
          <w:b w:val="false"/>
          <w:bCs w:val="false"/>
          <w:position w:val="0"/>
          <w:sz w:val="24"/>
          <w:sz w:val="24"/>
          <w:szCs w:val="24"/>
          <w:vertAlign w:val="baseline"/>
          <w:lang w:val="pt-BR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4"/>
          <w:sz w:val="24"/>
          <w:szCs w:val="24"/>
          <w:vertAlign w:val="baseline"/>
          <w:lang w:val="pt-BR"/>
        </w:rPr>
        <w:t>DE 18 DE DEZEMBRO DE 2025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4479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Altera o Anexo IV da Resolução nº 366, de 23 de setembro de 2015, que “Dispõe sobre o Quadro de Pessoal da Câmara Municipal de Timóteo e dá outras providências.</w:t>
      </w:r>
    </w:p>
    <w:p>
      <w:pPr>
        <w:pStyle w:val="Normal"/>
        <w:widowControl/>
        <w:bidi w:val="0"/>
        <w:spacing w:lineRule="auto" w:line="276" w:before="0" w:after="0"/>
        <w:ind w:hanging="0" w:left="4479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 xml:space="preserve">A CÂMARA MUNICIPAL DE TIMÓTEO aprovou e eu promulgo a seguinte </w:t>
      </w:r>
      <w:r>
        <w:rPr>
          <w:rFonts w:ascii="Arial" w:hAnsi="Arial"/>
          <w:b/>
          <w:bCs/>
          <w:sz w:val="24"/>
          <w:szCs w:val="24"/>
          <w:lang w:val="pt-BR"/>
        </w:rPr>
        <w:t>RESOLUÇÃO:</w:t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Art. 1º . </w:t>
      </w: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Os cargos de</w:t>
      </w:r>
      <w:r>
        <w:rPr>
          <w:rFonts w:eastAsia="Arial" w:cs="Arial" w:ascii="Arial" w:hAnsi="Arial"/>
          <w:b/>
          <w:bCs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Procurador-Geral, Secretário Administrativo, Procurador Jurídico, Gerente de Suprimentos, Gerente de Comunicação,  Gerente da Tecnologia da Informação – TI</w:t>
      </w: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,</w:t>
      </w:r>
      <w:r>
        <w:rPr>
          <w:rFonts w:eastAsia="Arial" w:cs="Arial" w:ascii="Arial" w:hAnsi="Arial"/>
          <w:b/>
          <w:bCs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Superintendente dos CIAC´s</w:t>
      </w: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e</w:t>
      </w:r>
      <w:r>
        <w:rPr>
          <w:rFonts w:eastAsia="Arial" w:cs="Arial" w:ascii="Arial" w:hAnsi="Arial"/>
          <w:b/>
          <w:bCs/>
          <w:color w:val="000000"/>
          <w:position w:val="0"/>
          <w:sz w:val="24"/>
          <w:sz w:val="24"/>
          <w:szCs w:val="24"/>
          <w:vertAlign w:val="baseline"/>
          <w:lang w:val="pt-BR"/>
        </w:rPr>
        <w:t xml:space="preserve"> Assessor Especial Técnico – Processo Legislativo, </w:t>
      </w: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vertAlign w:val="baseline"/>
          <w:lang w:val="pt-BR"/>
        </w:rPr>
        <w:t>constantes do  Anexo IV da Resolução nº 366, de 23 de setembro de 2015, que “Dispõe sobre o Quadro de Pessoal da Câmara Municipal de Timóteo e dá outras providências” passam a vigorar com as seguintes alterações: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Anexo IV - Quadro de cargos de provimento em comissão</w:t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tbl>
      <w:tblPr>
        <w:tblStyle w:val="Table1"/>
        <w:tblW w:w="9120" w:type="dxa"/>
        <w:jc w:val="left"/>
        <w:tblInd w:w="-3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513"/>
        <w:gridCol w:w="797"/>
        <w:gridCol w:w="1305"/>
        <w:gridCol w:w="1361"/>
        <w:gridCol w:w="4144"/>
      </w:tblGrid>
      <w:tr>
        <w:trPr/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Cargo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Qtde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Vencimento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Escolaridade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Atividade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Procurador- Geral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R$9.054,88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Curso superior completo em Direito e registro na Ordem dos Advogados do Brasil.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I. Representar judicialmente a Câmara Municipal;</w:t>
              <w:br/>
              <w:t>II. Coordenar a equipe de servidores lotada na Procuradoria Geral;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III. Organizar informações relativas à jurisprudência, doutrina e legislação federal, estadual e municipal;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IV. Assessorar juridicamente a Mesa Diretora, especialmente a Presidência, as Comissões e os vereadores no desempenho de suas atividades parlamentares;</w:t>
              <w:br/>
              <w:t>V. Coordenar as atividades jurídico-administrativas, judiciais, em especial as relativas ao processo legislativo, ao setor de licitações e contratos, à elaboração legislativa, ao setor de pesquisa, à assessoria e análise prévia das proposituras;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VI. Exercer atribuições consultivas em matéria de licitação e contratos, de pessoal efetivo e comissionado, bem como outras matérias que digam respeito à administração do Legislativo.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VII. Dirigir, em nível superior, as atividades do PROCON da Câmara Municipal.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VIII. Conduzir a interlocução institucional da Câmara Municipal com o Ministério Público, com os Tribunais de Contas, com o Poder Judiciário e com a Ordem dos Advogados do Brasil, formulando propostas de atuação conjunta em prol da eficiência, transparência e moralidade na gestão pública e respondendo a seus questionamentos, sugestões e recomendações.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Secretário Administrativo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  8.054,88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Curso superior completo.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I. Dirigir, planejar e coordenar, sob orientação da Presidência, a execução de todos os serviços técnico-administrativos da Câmara Municipal;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II. Elaborar e propor, em articulação com outros órgãos da Câmara Municipal, as políticas de gestão de recursos humanos, patrimônio, materiais, transporte, sistemas de informações e de apoio;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III. Planejar, organizar e executar os procedimentos administrativos relativos à admissão de servidores públicos, em especial os processos de concurso público, processos seletivos e de contratação temporária, bem como os procedimentos de demissão, exoneração, aposentadoria, licenciamento e afastamento de servidores públicos;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IV. Planejar, organizar e executar os procedimentos administrativos relativos à aquisição, compras e alienação de bens e serviços, em especial os procedimentos licitatórios, de dispensa e inexigibilidade de licitação.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V. Encarregar-se da administração, acompanhamento, controle e treinamento e capacitação dos servidores da Câmara Municipal;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VI. Administrar e controlar materiais e patrimônio;</w:t>
              <w:br/>
              <w:t>VII. Promover a ordem, a segurança e vigilância do patrimônio humano e material da Câmara Municipal;</w:t>
              <w:br/>
              <w:t>VIII. Implementar políticas de modernização administrativa.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  <w:t>Procurador Jurídico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  <w:t>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  <w:t>R$7.500,00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  <w:t>Curso superior completo em Direito e registro na Ordem dos Advogados do Brasil.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I. Prestar assessoria técnico-jurídica a procedimentos disciplinares e sindicâncias;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II. Prestar assessoria e consultoria à Mesa Diretora, aos vereadores, aos responsáveis pelos órgãos de staff e de linha, em todas as matérias relacionadas aos serviços administrativos e de suporte da Câmara Municipal;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III. Elaborar e revisar minutas de contratos, ajustes e convênios, bem como se manifestar sobre prorrogações, aditamentos, rescisões, aplicação de penalidades e demais incidentes relativos à execução de contrato firmado pela Edilidade;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IV. Dar cumprimento a outras atribuições atinentes a sua área de competência, que lhe venham a ser determinadas pela Mesa Diretora, em especial substituir automaticamente o Procurador Geral em seus impedimentos, ausências temporárias, férias, licenças, afastamentos ocasionais, bem como no caso de vacância do cargo até a nomeação de novo titular.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Gerente de Suprimentos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1</w:t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R$.6.000,00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Ensino médio completo e experiência comprovada na área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I. Coordenar e promover o processo de compras de suprimentos e serviços de interesse da Câmara;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II. Coordenar, acompanhar e controlar os gastos de suprimentos de forma a manter os estoque destes materiais em quantidade que atenda a Câmara Municipal 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 Adquirir materiais e equipamentos necessários ao desenvolvimento das atividades  da Câmara de acordo com procedimentos licitatórios vigentes;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 manter controle do estoque mediante registro das entradas e saídas de materiais;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 efetuar levantamento de necessidades dos órgãos da Câmara com vistas à reposição do estoque;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  encarregar-se do processo licitatório para a contratação de obras e serviços de acordo com a legislação vigente;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VII fiscalizar o cumprimento de contratos firmados pela Câmara, elaborando aditivos e providenciando a aplicação de penalidades, quando for o caso;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VIII conservar atualizado o cadastro de fornecedores;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IX manter arquivo próprio de documentos relativos às licitações e ao cadastro de fornecedores;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X manter cadastro atualizado dos bens adquiridos pela Câmara;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XI manter controle e registro atualizado das transferências interdepartamentais dos bens da Câmara; providenciar o licenciamento e o emplacamento dos veículos da Câmara;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XII e providenciar a contratação e a renovação dos seguros de vida e de bens da Câmara.</w:t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Gerente de Comunicação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R$4.950,00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Ensino Médio completo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I. Gerenciar a política de comunicação institucional, em especial as atividades de relacionamento e divulgação junto às organizações de comunicação voltadas à televisão, rádio, jornais, revistas e mídias sociais.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II. Gerenciar a produção de inserções em mídia especializada, especialmente voltadas para vídeo, TV, rádio e internet.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 xml:space="preserve">III. Responsabilizar-se pelo endomarketing dos espaços e prédios da Câmara Municipal; </w:t>
              <w:br/>
              <w:t>IV. Promover a divulgação e distribuição de material informativo de interesse da Câmara Municipal;</w:t>
              <w:br/>
              <w:t>V. Dar cobertura publicitária a todos os eventos realizados pela Câmara Municipal.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6"/>
                <w:szCs w:val="16"/>
                <w:lang w:val="pt-BR"/>
              </w:rPr>
            </w:pPr>
            <w:r>
              <w:rPr>
                <w:rFonts w:ascii="Arial" w:hAnsi="Arial"/>
                <w:sz w:val="16"/>
                <w:szCs w:val="16"/>
                <w:lang w:val="pt-BR"/>
              </w:rPr>
              <w:t>Superintendente dos CIACs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01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R$4.000,00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Ensino médio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 . Dirigir, em nível superior, as atividades do CIAC da Câmara Municipal;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 . Supervisionar atendimentos, resolução de demandas, por meio de informes e relatórios;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 . Gerenciar o staff quanto à lisura dos atendimentos, compliance, guarda de dados sensíveis e protegidos;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 . Assessorar à Presidência quanto ao número de atendimentos e políticas de divulgação dos serviços;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V . Fazer em nível superior articulação com demais serviços congêneres.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Gerente da Tecnologia da Informação - TI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01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R$3.250,00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Arial" w:hAnsi="Arial"/>
                <w:sz w:val="18"/>
                <w:szCs w:val="18"/>
                <w:lang w:val="pt-BR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Curso superior completo: Sistemas de Informação, Engenharia de Computação.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 Dirigir o Setor de TI na definição do suporte tecnológico em informática;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  Manter efetivo controle estratégico sobre o patrimônio / equipamentos de informática em condições de funcionamento;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III  Recepcionar as demandas do setor referente a material de consumo e permanente, suprir os setores da Câmara respeitante aos suprimentos de informática, viabilizando seus regulares funcionamentos;</w:t>
            </w:r>
          </w:p>
          <w:p>
            <w:pPr>
              <w:pStyle w:val="Normal"/>
              <w:spacing w:lineRule="auto" w:line="276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pt-BR"/>
              </w:rPr>
              <w:t>IV. Assessorar a Presidência quanto aos servidores efetivos do setor, sua capacitação e investimentos à curto, médio e longo prazo.</w:t>
            </w:r>
          </w:p>
        </w:tc>
      </w:tr>
      <w:tr>
        <w:trPr/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2"/>
              <w:shd w:val="clear" w:fill="FFFFFF"/>
              <w:jc w:val="left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color w:val="000000"/>
                <w:position w:val="0"/>
                <w:sz w:val="18"/>
                <w:sz w:val="18"/>
                <w:szCs w:val="18"/>
                <w:vertAlign w:val="baseline"/>
              </w:rPr>
              <w:t>Assessor Especial Técnico – Processo Legislativo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01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/>
              <w:shd w:val="clear" w:fill="FFFFFF"/>
              <w:spacing w:lineRule="auto" w:line="276" w:before="0" w:after="12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R$ 2.500,00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2"/>
              <w:keepNext w:val="false"/>
              <w:keepLines w:val="false"/>
              <w:widowControl w:val="false"/>
              <w:shd w:val="clear" w:fill="FFFFFF"/>
              <w:spacing w:lineRule="auto" w:line="240" w:before="0" w:after="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 w:val="false"/>
              <w:shd w:val="clear" w:fill="FFFFFF"/>
              <w:spacing w:lineRule="auto" w:line="240" w:before="0" w:after="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 w:val="false"/>
              <w:shd w:val="clear" w:fill="FFFFFF"/>
              <w:spacing w:lineRule="auto" w:line="240" w:before="0" w:after="0"/>
              <w:ind w:hanging="0" w:left="0" w:right="0"/>
              <w:jc w:val="left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2"/>
              <w:keepNext w:val="false"/>
              <w:keepLines w:val="false"/>
              <w:widowControl w:val="false"/>
              <w:shd w:val="clear" w:fill="FFFFFF"/>
              <w:spacing w:lineRule="auto" w:line="240" w:before="0" w:after="0"/>
              <w:ind w:hanging="0" w:left="0" w:right="0"/>
              <w:jc w:val="left"/>
              <w:rPr>
                <w:rFonts w:ascii="Liberation Serif" w:hAnsi="Liberation Serif" w:eastAsia="Liberation Serif" w:cs="Liberation Serif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Bacharel em direito ou curso em andamento</w:t>
            </w:r>
          </w:p>
        </w:tc>
        <w:tc>
          <w:tcPr>
            <w:tcW w:w="4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2"/>
              <w:keepNext w:val="false"/>
              <w:keepLines w:val="false"/>
              <w:widowControl/>
              <w:shd w:val="clear" w:fill="auto"/>
              <w:spacing w:lineRule="auto" w:line="288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I Assessorar Gabinetes de vereadores na elaboração de minutas de proposições, pareceres e outros textos de interesse legislativo no âmbito de sua atuação temática, em atendimento a solicitações de vereador, de comissão ou da Mesa, ou adequá-los às técnicas legislativas;</w:t>
            </w:r>
          </w:p>
          <w:p>
            <w:pPr>
              <w:pStyle w:val="Normal2"/>
              <w:keepNext w:val="false"/>
              <w:keepLines w:val="false"/>
              <w:widowControl/>
              <w:shd w:val="clear" w:fill="auto"/>
              <w:spacing w:lineRule="auto" w:line="288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II Assessorar Gabinetes de Vereadores na realização de estudos técnicos jurisprudenciais e em legislações estaduais e federais de assuntos vinculados ao exercício do mandato parlamentar, no âmbito da Câmara Municipal;</w:t>
            </w:r>
          </w:p>
          <w:p>
            <w:pPr>
              <w:pStyle w:val="Normal2"/>
              <w:keepNext w:val="false"/>
              <w:keepLines w:val="false"/>
              <w:widowControl/>
              <w:shd w:val="clear" w:fill="auto"/>
              <w:spacing w:lineRule="auto" w:line="288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III  Assessorar Gabinetes de Vereadores em relação às comissões</w:t>
            </w:r>
          </w:p>
        </w:tc>
      </w:tr>
    </w:tbl>
    <w:p>
      <w:pPr>
        <w:pStyle w:val="Normal"/>
        <w:spacing w:lineRule="auto" w:line="276"/>
        <w:jc w:val="both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spacing w:lineRule="auto" w:line="276"/>
        <w:jc w:val="both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 xml:space="preserve">Art. 2º. </w:t>
      </w: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Esta Resolução entra em vigor na data de sua publicação.</w:t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pPr>
      <w:r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pPr>
      <w:r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Timóteo, 18 de dezembro de 2025</w:t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pPr>
      <w:r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pPr>
      <w:r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r>
    </w:p>
    <w:p>
      <w:pPr>
        <w:sectPr>
          <w:type w:val="nextPage"/>
          <w:pgSz w:w="11906" w:h="16838"/>
          <w:pgMar w:left="1701" w:right="1134" w:gutter="0" w:header="0" w:top="2268" w:footer="0" w:bottom="1134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Adriano Alvarenga</w:t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Presidente</w:t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pPr>
      <w:r>
        <w:rPr>
          <w:rFonts w:eastAsia="Arial" w:cs="Arial"/>
          <w:b w:val="false"/>
          <w:bCs w:val="false"/>
          <w:color w:val="000000"/>
          <w:position w:val="0"/>
          <w:sz w:val="24"/>
          <w:sz w:val="24"/>
          <w:u w:val="none"/>
          <w:vertAlign w:val="baseline"/>
        </w:rPr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Pastora Sônia Andrade</w:t>
      </w:r>
    </w:p>
    <w:p>
      <w:pPr>
        <w:pStyle w:val="Normal"/>
        <w:widowControl/>
        <w:bidi w:val="0"/>
        <w:spacing w:lineRule="auto" w:line="276" w:before="0" w:after="0"/>
        <w:ind w:hanging="0" w:left="0" w:right="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  <w:t>1ª Secretária</w:t>
      </w:r>
    </w:p>
    <w:p>
      <w:pPr>
        <w:sectPr>
          <w:type w:val="continuous"/>
          <w:pgSz w:w="11906" w:h="16838"/>
          <w:pgMar w:left="1701" w:right="1134" w:gutter="0" w:header="0" w:top="2268" w:footer="0" w:bottom="1134"/>
          <w:cols w:num="2" w:space="282" w:equalWidth="true" w:sep="false"/>
          <w:formProt w:val="false"/>
          <w:textDirection w:val="lrTb"/>
          <w:docGrid w:type="default" w:linePitch="100" w:charSpace="0"/>
        </w:sectPr>
      </w:pPr>
    </w:p>
    <w:sectPr>
      <w:type w:val="continuous"/>
      <w:pgSz w:w="11906" w:h="16838"/>
      <w:pgMar w:left="1701" w:right="1134" w:gutter="0" w:header="0" w:top="2268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4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4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"/>
    <w:next w:val="BodyText"/>
    <w:qFormat/>
    <w:pPr>
      <w:keepNext w:val="true"/>
      <w:widowControl/>
      <w:suppressAutoHyphens w:val="false"/>
      <w:bidi w:val="0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1"/>
    <w:qFormat/>
    <w:pPr>
      <w:widowControl/>
      <w:suppressAutoHyphens w:val="false"/>
      <w:bidi w:val="0"/>
      <w:spacing w:lineRule="auto" w:line="276" w:before="0" w:after="140"/>
      <w:textAlignment w:val="top"/>
      <w:outlineLvl w:val="0"/>
    </w:pPr>
    <w:rPr>
      <w:rFonts w:ascii="Liberation Serif" w:hAnsi="Liberation Serif" w:eastAsia="NSimSun" w:cs="Arial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/>
      <w:suppressAutoHyphens w:val="false"/>
      <w:bidi w:val="0"/>
      <w:spacing w:lineRule="auto" w:line="276" w:before="0" w:after="140"/>
      <w:textAlignment w:val="top"/>
    </w:pPr>
    <w:rPr>
      <w:rFonts w:ascii="Liberation Serif" w:hAnsi="Liberation Serif" w:eastAsia="NSimSun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111"/>
    <w:qFormat/>
    <w:pPr>
      <w:widowControl/>
      <w:suppressLineNumbers/>
      <w:suppressAutoHyphens w:val="false"/>
      <w:bidi w:val="0"/>
      <w:spacing w:lineRule="atLeast" w:line="1"/>
      <w:textAlignment w:val="top"/>
      <w:outlineLvl w:val="0"/>
    </w:pPr>
    <w:rPr>
      <w:rFonts w:ascii="Liberation Serif" w:hAnsi="Liberation Serif" w:eastAsia="NSimSun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Caption1">
    <w:name w:val="caption1"/>
    <w:basedOn w:val="Normal111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Liberation Serif" w:hAnsi="Liberation Serif" w:eastAsia="NSimSun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" w:default="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Caption11">
    <w:name w:val="Caption11"/>
    <w:basedOn w:val="Normal111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Liberation Serif" w:hAnsi="Liberation Serif" w:eastAsia="NSimSun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Liberation Serif" w:hAnsi="Liberation Serif" w:eastAsia="NSimSun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Liberation Serif" w:hAnsi="Liberation Serif" w:eastAsia="NSimSun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Liberation Serif" w:hAnsi="Liberation Serif" w:eastAsia="NSimSun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atabela">
    <w:name w:val="Conteúdo da tabela"/>
    <w:basedOn w:val="Normal1111"/>
    <w:qFormat/>
    <w:pPr>
      <w:widowControl w:val="false"/>
      <w:suppressLineNumbers/>
      <w:suppressAutoHyphens w:val="false"/>
      <w:bidi w:val="0"/>
      <w:spacing w:lineRule="atLeast" w:line="1"/>
      <w:textAlignment w:val="top"/>
      <w:outlineLvl w:val="0"/>
    </w:pPr>
    <w:rPr>
      <w:rFonts w:ascii="Liberation Serif" w:hAnsi="Liberation Serif" w:eastAsia="NSimSun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top"/>
    </w:pPr>
    <w:rPr>
      <w:rFonts w:ascii="Liberation Serif" w:hAnsi="Liberation Serif" w:eastAsia="NSimSun" w:cs="Arial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PargrafodaLista">
    <w:name w:val="Parágrafo da Lista"/>
    <w:basedOn w:val="Normal1111"/>
    <w:qFormat/>
    <w:pPr>
      <w:widowControl/>
      <w:suppressAutoHyphens w:val="false"/>
      <w:bidi w:val="0"/>
      <w:spacing w:lineRule="atLeast" w:line="1"/>
      <w:ind w:hanging="0" w:left="708" w:right="0"/>
      <w:textAlignment w:val="top"/>
      <w:outlineLvl w:val="0"/>
    </w:pPr>
    <w:rPr>
      <w:rFonts w:ascii="Liberation Serif" w:hAnsi="Liberation Serif" w:eastAsia="NSimSun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O-Normal">
    <w:name w:val="LO-Normal"/>
    <w:qFormat/>
    <w:pPr>
      <w:widowControl w:val="false"/>
      <w:shd w:val="clear" w:color="auto" w:fill="FFFFFF"/>
      <w:suppressAutoHyphens w:val="false"/>
      <w:overflowPunct w:val="true"/>
      <w:bidi w:val="0"/>
      <w:spacing w:lineRule="atLeast" w:line="1" w:before="0" w:after="0"/>
      <w:jc w:val="left"/>
      <w:textAlignment w:val="baseline"/>
      <w:outlineLvl w:val="0"/>
    </w:pPr>
    <w:rPr>
      <w:rFonts w:ascii="Liberation Serif" w:hAnsi="Liberation Serif" w:eastAsia="WenQuanYi Micro Hei" w:cs="Lohit Hindi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1">
    <w:name w:val="Body Text1"/>
    <w:basedOn w:val="Normal1111"/>
    <w:qFormat/>
    <w:pPr>
      <w:widowControl/>
      <w:suppressAutoHyphens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NSimSun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Normal2">
    <w:name w:val="normal2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hHuyZ1v4ZZfsQ42jrWUIbBAmJw==">CgMxLjA4AHIhMUZpTEQ2clAxRS12WEp5VjctQnp3MFBHZkJRN1pEc3R6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LibreOffice/24.2.3.2$Windows_X86_64 LibreOffice_project/433d9c2ded56988e8a90e6b2e771ee4e6a5ab2ba</Application>
  <AppVersion>15.0000</AppVersion>
  <Pages>4</Pages>
  <Words>1227</Words>
  <Characters>7288</Characters>
  <CharactersWithSpaces>8438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2025-03-19T19:15:30Z</dcterms:created>
  <dc:creator/>
  <dc:description/>
  <dc:language>pt-BR</dc:language>
  <cp:lastModifiedBy/>
  <cp:lastPrinted>2025-12-17T17:45:34Z</cp:lastPrinted>
  <dcterms:modified xsi:type="dcterms:W3CDTF">2025-12-17T17:45:50Z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