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center"/>
        <w:rPr/>
      </w:pPr>
      <w:r>
        <w:rPr>
          <w:rFonts w:cs="Arial" w:ascii="Arial" w:hAnsi="Arial"/>
          <w:b/>
          <w:sz w:val="24"/>
          <w:szCs w:val="24"/>
        </w:rPr>
        <w:t>PROJETO DE LEI</w:t>
      </w:r>
      <w:r>
        <w:rPr>
          <w:rFonts w:eastAsia="Times New Roman" w:cs="Arial" w:ascii="Arial" w:hAnsi="Arial"/>
          <w:b/>
          <w:sz w:val="24"/>
          <w:szCs w:val="24"/>
        </w:rPr>
        <w:t xml:space="preserve"> Nº 4.543, DE 25 DE SETEMBRO DE 2023</w:t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ind w:left="5103" w:hanging="0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left="5103" w:hanging="0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Estima a receita e fixa a despesa do Município de Timóteo para o exercício financeiro de 2024.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sz w:val="24"/>
          <w:szCs w:val="24"/>
        </w:rPr>
        <w:t>A CÂMARA MUNICIPAL de Timóteo aprova:</w:t>
      </w:r>
    </w:p>
    <w:p>
      <w:pPr>
        <w:pStyle w:val="Normal"/>
        <w:spacing w:lineRule="auto" w:line="276" w:before="0" w:after="0"/>
        <w:ind w:firstLine="170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b/>
          <w:color w:val="000000"/>
          <w:sz w:val="24"/>
          <w:szCs w:val="24"/>
        </w:rPr>
        <w:t>Art. 1º</w:t>
      </w:r>
      <w:r>
        <w:rPr>
          <w:rFonts w:cs="Arial" w:ascii="Arial" w:hAnsi="Arial"/>
          <w:color w:val="000000"/>
          <w:sz w:val="24"/>
          <w:szCs w:val="24"/>
        </w:rPr>
        <w:t xml:space="preserve"> Esta lei estima a receita do Município de Timóteo para o exercício financeiro de 2024 no montante de R$ 432.117.307,00 (quatrocentos e trinta e dois milhões cento de dezessete mil trezentos e sete reais) e fixa a </w:t>
      </w:r>
      <w:r>
        <w:rPr>
          <w:rFonts w:cs="Arial" w:ascii="Arial" w:hAnsi="Arial"/>
          <w:sz w:val="24"/>
          <w:szCs w:val="24"/>
        </w:rPr>
        <w:t>despesa em igual valor, nos termos do § 5º do art. 165 da Constituição Federal cumulado com as disposições da Lei Municipal nº 3.934, de 25 de agosto de 2023 (Lei de Diretrizes Orçamentárias) para o exercício financeiro de 2024, compreendendo o orçamento fiscal e da seguridade social referente aos Poderes do Município,</w:t>
      </w:r>
      <w:r>
        <w:rPr>
          <w:rFonts w:cs="Arial" w:ascii="Arial" w:hAnsi="Arial"/>
          <w:color w:val="000000"/>
          <w:sz w:val="24"/>
          <w:szCs w:val="24"/>
        </w:rPr>
        <w:t xml:space="preserve"> seus fundos, órgãos e entidades da Administração Pública Municipal direta e indireta, inclusive fundações instituídas e mantidas pelo Poder Público.</w:t>
      </w:r>
    </w:p>
    <w:p>
      <w:pPr>
        <w:pStyle w:val="Normal"/>
        <w:spacing w:lineRule="auto" w:line="276" w:before="0" w:after="0"/>
        <w:ind w:firstLine="1134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Parágrafo único. Integram a presente Lei os seguintes quadros:</w:t>
      </w:r>
    </w:p>
    <w:p>
      <w:pPr>
        <w:pStyle w:val="Normal"/>
        <w:spacing w:lineRule="auto" w:line="276" w:before="0" w:after="0"/>
        <w:ind w:firstLine="1134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I - receita orçamentária por categoria e fonte;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II - despesa orçamentária por funções de governo;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III - despesa orçamentária por órgãos e unidades orçamentárias;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IV - resumo das receitas e despesas por órgãos.</w:t>
      </w:r>
    </w:p>
    <w:p>
      <w:pPr>
        <w:pStyle w:val="Normal"/>
        <w:spacing w:lineRule="auto" w:line="276" w:before="0" w:after="0"/>
        <w:ind w:firstLine="1134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b/>
          <w:iCs/>
          <w:color w:val="000000"/>
          <w:sz w:val="24"/>
          <w:szCs w:val="24"/>
        </w:rPr>
        <w:t>Art. 2º</w:t>
      </w:r>
      <w:r>
        <w:rPr>
          <w:rFonts w:cs="Arial" w:ascii="Arial" w:hAnsi="Arial"/>
          <w:iCs/>
          <w:color w:val="000000"/>
          <w:sz w:val="24"/>
          <w:szCs w:val="24"/>
        </w:rPr>
        <w:t xml:space="preserve"> Fica o Poder Executivo autorizado a contratar operações de crédito e a abrir créditos adicionais suplementares, limitado em 20% (vinte por cento) do valor correspondente ao montante previsto nesta Lei, nos termos da Lei Federal nº 4.320/1964 e respeitadas as demais prescrições constitucionais, utilizando como fonte de recursos:</w:t>
      </w:r>
    </w:p>
    <w:p>
      <w:pPr>
        <w:pStyle w:val="Normal"/>
        <w:spacing w:lineRule="auto" w:line="276" w:before="0" w:after="0"/>
        <w:ind w:firstLine="1134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I – anulação total ou parcial de saldos orçamentários desde que não comprometidos;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II – saldos orçamentários de convênios não efetivados.</w:t>
      </w:r>
    </w:p>
    <w:p>
      <w:pPr>
        <w:pStyle w:val="Normal"/>
        <w:spacing w:lineRule="auto" w:line="276" w:before="0" w:after="0"/>
        <w:ind w:firstLine="1134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§1º - Excluem-se do limite os créditos adicionais suplementares decorrentes da aplicação de superávit financeiro do exercício anterior e do excesso ou provável excesso de arrecadação observada a tendência do exercício, ficando estes limitados ao saldo apurado;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iCs/>
          <w:color w:val="000000"/>
          <w:sz w:val="24"/>
          <w:szCs w:val="24"/>
        </w:rPr>
        <w:t>§2º Igualmente excluem-se dos limites fixados no caput deste artigo, as movimentações orçamentarias oriundas do Fundo de Manutenção e Desenvolvimento da Educação Básica e Valorização dos Profissionais da Educação Bá</w:t>
      </w:r>
      <w:bookmarkStart w:id="0" w:name="_GoBack"/>
      <w:bookmarkEnd w:id="0"/>
      <w:r>
        <w:rPr>
          <w:rFonts w:cs="Arial" w:ascii="Arial" w:hAnsi="Arial"/>
          <w:iCs/>
          <w:color w:val="000000"/>
          <w:sz w:val="24"/>
          <w:szCs w:val="24"/>
        </w:rPr>
        <w:t>sica (FUNDEB) e do Fundo Nacional de Saúde (FNS), limitadas aos respectivos recursos orçamentários previstos no orçamento.</w:t>
      </w:r>
    </w:p>
    <w:p>
      <w:pPr>
        <w:pStyle w:val="Normal"/>
        <w:spacing w:lineRule="auto" w:line="276" w:before="0" w:after="0"/>
        <w:ind w:firstLine="1134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b/>
          <w:iCs/>
          <w:color w:val="000000"/>
          <w:sz w:val="24"/>
          <w:szCs w:val="24"/>
        </w:rPr>
        <w:t>Art. 3º</w:t>
      </w:r>
      <w:r>
        <w:rPr>
          <w:rFonts w:cs="Arial" w:ascii="Arial" w:hAnsi="Arial"/>
          <w:iCs/>
          <w:color w:val="000000"/>
          <w:sz w:val="24"/>
          <w:szCs w:val="24"/>
        </w:rPr>
        <w:t xml:space="preserve"> Acompanharão a presente Lei os anexos exigidos pela legislação vigente.</w:t>
      </w:r>
    </w:p>
    <w:p>
      <w:pPr>
        <w:pStyle w:val="Normal"/>
        <w:spacing w:lineRule="auto" w:line="276" w:before="0" w:after="0"/>
        <w:ind w:firstLine="1134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b/>
          <w:iCs/>
          <w:color w:val="000000"/>
          <w:sz w:val="24"/>
          <w:szCs w:val="24"/>
        </w:rPr>
        <w:t>Art. 4º</w:t>
      </w:r>
      <w:r>
        <w:rPr>
          <w:rFonts w:cs="Arial" w:ascii="Arial" w:hAnsi="Arial"/>
          <w:iCs/>
          <w:color w:val="000000"/>
          <w:sz w:val="24"/>
          <w:szCs w:val="24"/>
        </w:rPr>
        <w:t xml:space="preserve"> Esta Lei entra em vigor na data de 1º de janeiro de 2024.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cs="Arial" w:ascii="Arial" w:hAnsi="Arial"/>
          <w:iCs/>
          <w:color w:val="000000"/>
          <w:sz w:val="24"/>
          <w:szCs w:val="24"/>
        </w:rPr>
      </w:r>
    </w:p>
    <w:p>
      <w:pPr>
        <w:pStyle w:val="Normal"/>
        <w:spacing w:lineRule="auto" w:line="276" w:before="0" w:after="0"/>
        <w:ind w:left="5103" w:hanging="0"/>
        <w:jc w:val="both"/>
        <w:rPr/>
      </w:pPr>
      <w:r>
        <w:rPr>
          <w:rFonts w:cs="Arial" w:ascii="Arial" w:hAnsi="Arial"/>
          <w:sz w:val="24"/>
          <w:szCs w:val="24"/>
        </w:rPr>
        <w:t>Timóteo, 25 de setembro de 2023; 59º ano de emancipação político-administrativa do Município.</w:t>
      </w:r>
    </w:p>
    <w:p>
      <w:pPr>
        <w:pStyle w:val="Normal"/>
        <w:spacing w:lineRule="auto" w:line="276" w:before="0" w:after="0"/>
        <w:ind w:left="4536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ind w:left="4536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 w:before="0" w:after="0"/>
        <w:ind w:left="4536" w:hanging="0"/>
        <w:jc w:val="center"/>
        <w:rPr/>
      </w:pPr>
      <w:r>
        <w:rPr>
          <w:rFonts w:cs="Arial" w:ascii="Arial" w:hAnsi="Arial"/>
          <w:b/>
          <w:sz w:val="24"/>
          <w:szCs w:val="24"/>
        </w:rPr>
        <w:t>Douglas Willkys</w:t>
      </w:r>
    </w:p>
    <w:p>
      <w:pPr>
        <w:pStyle w:val="Normal"/>
        <w:spacing w:lineRule="auto" w:line="276" w:before="0" w:after="0"/>
        <w:ind w:left="4536" w:hanging="0"/>
        <w:jc w:val="center"/>
        <w:rPr/>
      </w:pPr>
      <w:r>
        <w:rPr>
          <w:rFonts w:cs="Arial" w:ascii="Arial" w:hAnsi="Arial"/>
          <w:sz w:val="24"/>
          <w:szCs w:val="24"/>
        </w:rPr>
        <w:t>Prefeito de Timóteo</w:t>
      </w:r>
    </w:p>
    <w:p>
      <w:pPr>
        <w:pStyle w:val="Normal"/>
        <w:spacing w:lineRule="auto" w:line="276" w:before="0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  <w:r>
        <w:br w:type="page"/>
      </w:r>
    </w:p>
    <w:p>
      <w:pPr>
        <w:pStyle w:val="Normal"/>
        <w:spacing w:lineRule="auto" w:line="276" w:before="0" w:after="0"/>
        <w:jc w:val="center"/>
        <w:rPr/>
      </w:pPr>
      <w:r>
        <w:rPr>
          <w:rFonts w:cs="Arial" w:ascii="Arial" w:hAnsi="Arial"/>
          <w:b/>
          <w:sz w:val="24"/>
          <w:szCs w:val="24"/>
        </w:rPr>
        <w:t>MENSAGEM N.º 031, DE 25 DE SETEMBRO DE 2023.</w:t>
      </w:r>
    </w:p>
    <w:p>
      <w:pPr>
        <w:pStyle w:val="Normal"/>
        <w:spacing w:lineRule="auto" w:line="276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sz w:val="24"/>
          <w:szCs w:val="24"/>
        </w:rPr>
        <w:t>Senhor Presidente da Câmara Municipal de Timóteo,</w:t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sz w:val="24"/>
          <w:szCs w:val="24"/>
        </w:rPr>
        <w:t>Ilustres Vereadores.</w:t>
      </w:r>
    </w:p>
    <w:p>
      <w:pPr>
        <w:pStyle w:val="Normal"/>
        <w:spacing w:lineRule="auto" w:line="276" w:before="0" w:after="0"/>
        <w:ind w:firstLine="113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sz w:val="24"/>
          <w:szCs w:val="24"/>
          <w:lang w:eastAsia="hi-IN"/>
        </w:rPr>
        <w:t>Com nossos cordiais cumprimentos, submetemos para deliberação do Plenário dessa Augusta Casa Legislativa, o apenso Projeto de Lei que</w:t>
      </w:r>
      <w:r>
        <w:rPr>
          <w:rFonts w:cs="Arial" w:ascii="Arial" w:hAnsi="Arial"/>
          <w:sz w:val="24"/>
          <w:szCs w:val="24"/>
        </w:rPr>
        <w:t xml:space="preserve"> “</w:t>
      </w:r>
      <w:r>
        <w:rPr>
          <w:rFonts w:cs="Arial" w:ascii="Arial" w:hAnsi="Arial"/>
          <w:iCs/>
          <w:color w:val="000000"/>
          <w:sz w:val="24"/>
          <w:szCs w:val="24"/>
        </w:rPr>
        <w:t>Estima a receita e fixa a despesa do Município de Timóteo para o exercício financeiro de 2024”.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sz w:val="24"/>
          <w:szCs w:val="24"/>
        </w:rPr>
        <w:t>Oportuno salientar que, para elaboração da proposta apensada, foram observadas as disposições legais vigentes, notadamente as  normas constitucionais, os ditames da Lei Complementar nº 101/2000 (Lei de Responsabilidade Fiscal), a Lei Federal nº 4.320/1964, que dispõe sobre normas gerais para elaboração dos orçamentos e a Lei Municipal nº 3.934/23, que estabelece as diretrizes orçamentárias do município.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sz w:val="24"/>
          <w:szCs w:val="24"/>
        </w:rPr>
        <w:t>Inobstante, o PL em comento está calcado em dados objetivos e parâmetros reais, estruturado de forma a assegurar os recursos para a consecução dos objetivos e metas estabelecidos na programação estratégica do governo, bem como os recursos para a manutenção dos serviços existentes, tudo isso, sem perder de vista o desempenho responsável das finanças públicas municipais.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sz w:val="24"/>
          <w:szCs w:val="24"/>
        </w:rPr>
        <w:t>Para permitir uma melhor análise dos valores e dos objetivos traçados por esta proposta, apensamos o saldo das dívidas flutuante e consolidada do Município.</w:t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sz w:val="24"/>
          <w:szCs w:val="24"/>
        </w:rPr>
        <w:t>Em sendo assim, reconhecendo que o referido projeto de lei se mostra essencial para o cumprimento dos objetivos traçados pela Administração Municipal, apresentamos o aludido projeto nos moldes da Lei de Organização Municipal, razão pela qual rogamos a provação dos nobres pares.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jc w:val="both"/>
        <w:rPr/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Atenciosamente,</w:t>
      </w:r>
    </w:p>
    <w:p>
      <w:pPr>
        <w:pStyle w:val="Normal"/>
        <w:spacing w:lineRule="auto" w:line="276" w:before="0" w:after="0"/>
        <w:ind w:firstLine="1134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 w:before="0" w:after="0"/>
        <w:ind w:firstLine="1134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b/>
          <w:sz w:val="24"/>
          <w:szCs w:val="24"/>
        </w:rPr>
        <w:t>Douglas Willkys</w:t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sz w:val="24"/>
          <w:szCs w:val="24"/>
        </w:rPr>
        <w:t>Prefeito de Timóteo</w:t>
      </w:r>
    </w:p>
    <w:sectPr>
      <w:footerReference w:type="default" r:id="rId2"/>
      <w:type w:val="nextPage"/>
      <w:pgSz w:w="11906" w:h="16838"/>
      <w:pgMar w:left="1701" w:right="1134" w:header="0" w:top="2268" w:footer="1134" w:bottom="1191" w:gutter="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b215b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eb215b"/>
    <w:pPr>
      <w:keepNext w:val="true"/>
      <w:ind w:left="2835" w:hanging="0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b215b"/>
    <w:pPr>
      <w:keepNext w:val="true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eb215b"/>
    <w:pPr>
      <w:keepNext w:val="true"/>
      <w:outlineLvl w:val="2"/>
    </w:pPr>
    <w:rPr>
      <w:rFonts w:ascii="Arial" w:hAnsi="Arial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link w:val="Ttulo1"/>
    <w:qFormat/>
    <w:rsid w:val="00eb215b"/>
    <w:rPr>
      <w:rFonts w:ascii="Arial" w:hAnsi="Arial" w:eastAsia="Times New Roman" w:cs="Times New Roman"/>
      <w:b/>
      <w:sz w:val="24"/>
      <w:szCs w:val="20"/>
      <w:lang w:eastAsia="pt-BR"/>
    </w:rPr>
  </w:style>
  <w:style w:type="character" w:styleId="Ttulo2Char" w:customStyle="1">
    <w:name w:val="Título 2 Char"/>
    <w:link w:val="Ttulo2"/>
    <w:qFormat/>
    <w:rsid w:val="00eb215b"/>
    <w:rPr>
      <w:rFonts w:ascii="Arial" w:hAnsi="Arial" w:eastAsia="Times New Roman" w:cs="Times New Roman"/>
      <w:b/>
      <w:sz w:val="28"/>
      <w:szCs w:val="20"/>
      <w:lang w:eastAsia="pt-BR"/>
    </w:rPr>
  </w:style>
  <w:style w:type="character" w:styleId="Ttulo3Char" w:customStyle="1">
    <w:name w:val="Título 3 Char"/>
    <w:link w:val="Ttulo3"/>
    <w:qFormat/>
    <w:rsid w:val="00eb215b"/>
    <w:rPr>
      <w:rFonts w:ascii="Arial" w:hAnsi="Arial" w:eastAsia="Times New Roman" w:cs="Times New Roman"/>
      <w:sz w:val="24"/>
      <w:szCs w:val="20"/>
      <w:lang w:eastAsia="pt-BR"/>
    </w:rPr>
  </w:style>
  <w:style w:type="character" w:styleId="CabealhoChar" w:customStyle="1">
    <w:name w:val="Cabeçalho Char"/>
    <w:link w:val="Cabealho"/>
    <w:uiPriority w:val="99"/>
    <w:qFormat/>
    <w:rsid w:val="00eb215b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RodapChar" w:customStyle="1">
    <w:name w:val="Rodapé Char"/>
    <w:link w:val="Rodap"/>
    <w:uiPriority w:val="99"/>
    <w:qFormat/>
    <w:rsid w:val="00eb215b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RecuodecorpodetextoChar" w:customStyle="1">
    <w:name w:val="Recuo de corpo de texto Char"/>
    <w:link w:val="Recuodecorpodetexto"/>
    <w:qFormat/>
    <w:rsid w:val="00eb215b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orpodetexto3Char" w:customStyle="1">
    <w:name w:val="Corpo de texto 3 Char"/>
    <w:link w:val="Corpodetexto3"/>
    <w:uiPriority w:val="99"/>
    <w:qFormat/>
    <w:rsid w:val="001f7072"/>
    <w:rPr>
      <w:rFonts w:ascii="Times New Roman" w:hAnsi="Times New Roman" w:eastAsia="Times New Roman"/>
      <w:sz w:val="16"/>
      <w:szCs w:val="16"/>
    </w:rPr>
  </w:style>
  <w:style w:type="character" w:styleId="CorpodetextoChar" w:customStyle="1">
    <w:name w:val="Corpo de texto Char"/>
    <w:link w:val="Corpodetexto"/>
    <w:uiPriority w:val="99"/>
    <w:qFormat/>
    <w:rsid w:val="001f7072"/>
    <w:rPr>
      <w:rFonts w:ascii="Times New Roman" w:hAnsi="Times New Roman" w:eastAsia="Times New Roman"/>
    </w:rPr>
  </w:style>
  <w:style w:type="character" w:styleId="Corpodetexto2Char" w:customStyle="1">
    <w:name w:val="Corpo de texto 2 Char"/>
    <w:link w:val="Corpodetexto2"/>
    <w:uiPriority w:val="99"/>
    <w:qFormat/>
    <w:rsid w:val="001f7072"/>
    <w:rPr>
      <w:rFonts w:ascii="Times New Roman" w:hAnsi="Times New Roman" w:eastAsia="Times New Roman"/>
    </w:rPr>
  </w:style>
  <w:style w:type="character" w:styleId="Recuodecorpodetexto2Char" w:customStyle="1">
    <w:name w:val="Recuo de corpo de texto 2 Char"/>
    <w:link w:val="Recuodecorpodetexto2"/>
    <w:uiPriority w:val="99"/>
    <w:semiHidden/>
    <w:qFormat/>
    <w:rsid w:val="0034786f"/>
    <w:rPr>
      <w:rFonts w:ascii="Times New Roman" w:hAnsi="Times New Roman" w:eastAsia="Times New Roman"/>
    </w:rPr>
  </w:style>
  <w:style w:type="character" w:styleId="Appleconvertedspace" w:customStyle="1">
    <w:name w:val="apple-converted-space"/>
    <w:qFormat/>
    <w:rsid w:val="000e5bf4"/>
    <w:rPr/>
  </w:style>
  <w:style w:type="character" w:styleId="Nfase">
    <w:name w:val="Ênfase"/>
    <w:uiPriority w:val="20"/>
    <w:qFormat/>
    <w:rsid w:val="000e5bf4"/>
    <w:rPr>
      <w:i/>
      <w:iCs/>
    </w:rPr>
  </w:style>
  <w:style w:type="character" w:styleId="TextodenotaderodapChar" w:customStyle="1">
    <w:name w:val="Texto de nota de rodapé Char"/>
    <w:link w:val="Textodenotaderodap"/>
    <w:qFormat/>
    <w:rsid w:val="000e5bf4"/>
    <w:rPr>
      <w:rFonts w:ascii="Times New Roman" w:hAnsi="Times New Roman" w:eastAsia="Times New Roman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qFormat/>
    <w:rsid w:val="000e5bf4"/>
    <w:rPr>
      <w:vertAlign w:val="superscript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832298"/>
    <w:rPr>
      <w:rFonts w:ascii="Tahoma" w:hAnsi="Tahoma" w:eastAsia="Times New Roman" w:cs="Tahoma"/>
      <w:sz w:val="16"/>
      <w:szCs w:val="16"/>
    </w:rPr>
  </w:style>
  <w:style w:type="character" w:styleId="LinkdaInternet">
    <w:name w:val="Link da Internet"/>
    <w:basedOn w:val="DefaultParagraphFont"/>
    <w:uiPriority w:val="99"/>
    <w:semiHidden/>
    <w:unhideWhenUsed/>
    <w:rsid w:val="00815c2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15c26"/>
    <w:rPr>
      <w:b/>
      <w:bCs/>
    </w:rPr>
  </w:style>
  <w:style w:type="character" w:styleId="TtuloChar" w:customStyle="1">
    <w:name w:val="Título Char"/>
    <w:basedOn w:val="DefaultParagraphFont"/>
    <w:link w:val="Ttulo"/>
    <w:qFormat/>
    <w:rsid w:val="00e975b1"/>
    <w:rPr>
      <w:rFonts w:ascii="Arial" w:hAnsi="Arial" w:eastAsia="Times New Roman"/>
      <w:b/>
      <w:sz w:val="26"/>
      <w:u w:val="single"/>
    </w:rPr>
  </w:style>
  <w:style w:type="character" w:styleId="Hlhilite" w:customStyle="1">
    <w:name w:val="hl hilite"/>
    <w:basedOn w:val="DefaultParagraphFont"/>
    <w:qFormat/>
    <w:rsid w:val="00e975b1"/>
    <w:rPr/>
  </w:style>
  <w:style w:type="character" w:styleId="Recuodecorpodetexto3Char" w:customStyle="1">
    <w:name w:val="Recuo de corpo de texto 3 Char"/>
    <w:basedOn w:val="DefaultParagraphFont"/>
    <w:link w:val="Recuodecorpodetexto3"/>
    <w:uiPriority w:val="99"/>
    <w:semiHidden/>
    <w:qFormat/>
    <w:rsid w:val="0090610f"/>
    <w:rPr>
      <w:rFonts w:ascii="Times New Roman" w:hAnsi="Times New Roman" w:eastAsia="Times New Roman"/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1f7072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eb215b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uiPriority w:val="99"/>
    <w:rsid w:val="00eb215b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uiPriority w:val="34"/>
    <w:qFormat/>
    <w:rsid w:val="00eb215b"/>
    <w:pPr>
      <w:spacing w:before="0" w:after="0"/>
      <w:ind w:left="720" w:hanging="0"/>
      <w:contextualSpacing/>
    </w:pPr>
    <w:rPr/>
  </w:style>
  <w:style w:type="paragraph" w:styleId="Corpodotextorecuado">
    <w:name w:val="Body Text Indent"/>
    <w:basedOn w:val="Normal"/>
    <w:link w:val="RecuodecorpodetextoChar"/>
    <w:rsid w:val="00eb215b"/>
    <w:pPr>
      <w:ind w:left="2124" w:firstLine="6"/>
      <w:jc w:val="both"/>
    </w:pPr>
    <w:rPr>
      <w:sz w:val="24"/>
    </w:rPr>
  </w:style>
  <w:style w:type="paragraph" w:styleId="NormalWeb">
    <w:name w:val="Normal (Web)"/>
    <w:basedOn w:val="Normal"/>
    <w:uiPriority w:val="99"/>
    <w:unhideWhenUsed/>
    <w:qFormat/>
    <w:rsid w:val="00e672b0"/>
    <w:pPr>
      <w:spacing w:beforeAutospacing="1" w:afterAutospacing="1"/>
    </w:pPr>
    <w:rPr>
      <w:sz w:val="24"/>
      <w:szCs w:val="24"/>
    </w:rPr>
  </w:style>
  <w:style w:type="paragraph" w:styleId="BodyText3">
    <w:name w:val="Body Text 3"/>
    <w:basedOn w:val="Normal"/>
    <w:link w:val="Corpodetexto3Char"/>
    <w:uiPriority w:val="99"/>
    <w:unhideWhenUsed/>
    <w:qFormat/>
    <w:rsid w:val="001f7072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Corpodetexto2Char"/>
    <w:uiPriority w:val="99"/>
    <w:unhideWhenUsed/>
    <w:qFormat/>
    <w:rsid w:val="001f7072"/>
    <w:pPr>
      <w:spacing w:lineRule="auto" w:line="480" w:before="0" w:after="120"/>
    </w:pPr>
    <w:rPr/>
  </w:style>
  <w:style w:type="paragraph" w:styleId="Preformatted" w:customStyle="1">
    <w:name w:val="Preformatted"/>
    <w:basedOn w:val="Normal"/>
    <w:qFormat/>
    <w:rsid w:val="001f7072"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/>
    </w:rPr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34786f"/>
    <w:pPr>
      <w:spacing w:lineRule="auto" w:line="480" w:before="0" w:after="120"/>
      <w:ind w:left="283" w:hanging="0"/>
    </w:pPr>
    <w:rPr/>
  </w:style>
  <w:style w:type="paragraph" w:styleId="FolhadeDespachos" w:customStyle="1">
    <w:name w:val="Folha de Despachos"/>
    <w:basedOn w:val="Normal"/>
    <w:autoRedefine/>
    <w:uiPriority w:val="99"/>
    <w:qFormat/>
    <w:rsid w:val="0034786f"/>
    <w:pPr>
      <w:spacing w:lineRule="auto" w:line="276"/>
      <w:ind w:right="112" w:hanging="0"/>
      <w:jc w:val="center"/>
    </w:pPr>
    <w:rPr>
      <w:rFonts w:ascii="Arial" w:hAnsi="Arial" w:cs="Arial"/>
      <w:b/>
      <w:bCs/>
      <w:sz w:val="24"/>
      <w:szCs w:val="24"/>
      <w:shd w:fill="F9F9F9" w:val="clear"/>
    </w:rPr>
  </w:style>
  <w:style w:type="paragraph" w:styleId="Processo" w:customStyle="1">
    <w:name w:val="processo"/>
    <w:basedOn w:val="Normal"/>
    <w:qFormat/>
    <w:rsid w:val="0034786f"/>
    <w:pPr>
      <w:widowControl w:val="false"/>
      <w:tabs>
        <w:tab w:val="clear" w:pos="708"/>
        <w:tab w:val="left" w:pos="1701" w:leader="none"/>
      </w:tabs>
      <w:jc w:val="both"/>
    </w:pPr>
    <w:rPr>
      <w:rFonts w:ascii="Courier New" w:hAnsi="Courier New" w:cs="Arial"/>
      <w:i/>
      <w:spacing w:val="10"/>
    </w:rPr>
  </w:style>
  <w:style w:type="paragraph" w:styleId="Notaderodap">
    <w:name w:val="Footnote Text"/>
    <w:basedOn w:val="Normal"/>
    <w:link w:val="TextodenotaderodapChar"/>
    <w:rsid w:val="000e5bf4"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32298"/>
    <w:pPr/>
    <w:rPr>
      <w:rFonts w:ascii="Tahoma" w:hAnsi="Tahoma" w:cs="Tahoma"/>
      <w:sz w:val="16"/>
      <w:szCs w:val="16"/>
    </w:rPr>
  </w:style>
  <w:style w:type="paragraph" w:styleId="Ttulododocumento">
    <w:name w:val="Title"/>
    <w:basedOn w:val="Normal"/>
    <w:link w:val="TtuloChar"/>
    <w:qFormat/>
    <w:rsid w:val="00e975b1"/>
    <w:pPr>
      <w:spacing w:lineRule="auto" w:line="360" w:before="840" w:after="360"/>
      <w:jc w:val="center"/>
    </w:pPr>
    <w:rPr>
      <w:rFonts w:ascii="Arial" w:hAnsi="Arial"/>
      <w:b/>
      <w:sz w:val="26"/>
      <w:u w:val="single"/>
    </w:rPr>
  </w:style>
  <w:style w:type="paragraph" w:styleId="Tj" w:customStyle="1">
    <w:name w:val="tj"/>
    <w:basedOn w:val="Normal"/>
    <w:qFormat/>
    <w:rsid w:val="00e975b1"/>
    <w:pPr>
      <w:spacing w:beforeAutospacing="1" w:afterAutospacing="1"/>
    </w:pPr>
    <w:rPr>
      <w:sz w:val="24"/>
      <w:szCs w:val="24"/>
    </w:rPr>
  </w:style>
  <w:style w:type="paragraph" w:styleId="BodyTextIndent3">
    <w:name w:val="Body Text Indent 3"/>
    <w:basedOn w:val="Normal"/>
    <w:link w:val="Recuodecorpodetexto3Char"/>
    <w:uiPriority w:val="99"/>
    <w:semiHidden/>
    <w:unhideWhenUsed/>
    <w:qFormat/>
    <w:rsid w:val="0090610f"/>
    <w:pPr>
      <w:spacing w:before="0" w:after="120"/>
      <w:ind w:left="283" w:hanging="0"/>
    </w:pPr>
    <w:rPr>
      <w:sz w:val="16"/>
      <w:szCs w:val="16"/>
    </w:rPr>
  </w:style>
  <w:style w:type="paragraph" w:styleId="Recuodecorpodetexto22" w:customStyle="1">
    <w:name w:val="Recuo de corpo de texto 22"/>
    <w:basedOn w:val="Normal"/>
    <w:qFormat/>
    <w:rsid w:val="00cd3406"/>
    <w:pPr>
      <w:widowControl w:val="false"/>
      <w:suppressAutoHyphens w:val="true"/>
      <w:spacing w:lineRule="auto" w:line="480" w:before="0" w:after="120"/>
      <w:ind w:left="283" w:hanging="0"/>
    </w:pPr>
    <w:rPr>
      <w:rFonts w:eastAsia="Arial Unicode MS" w:cs="Tahoma"/>
      <w:kern w:val="2"/>
      <w:sz w:val="24"/>
      <w:szCs w:val="24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03587-D7A3-4AA0-A6B8-1692AD09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Application>LibreOffice/7.0.5.2$Windows_X86_64 LibreOffice_project/64390860c6cd0aca4beafafcfd84613dd9dfb63a</Application>
  <AppVersion>15.0000</AppVersion>
  <Pages>3</Pages>
  <Words>624</Words>
  <Characters>3486</Characters>
  <CharactersWithSpaces>4085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2023-09-25T13:00:00Z</dcterms:created>
  <dc:creator>uc401429</dc:creator>
  <dc:description/>
  <dc:language>pt-BR</dc:language>
  <cp:lastModifiedBy/>
  <cp:lastPrinted>2023-09-25T19:51:00Z</cp:lastPrinted>
  <dcterms:modified xsi:type="dcterms:W3CDTF">2023-09-26T13:54:27Z</dcterms:modified>
  <cp:revision>6</cp:revision>
  <dc:subject/>
  <dc:title>TERMO DE ADITAMENTO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